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Teaching Case Study on India Education Outcomes Fund and Development Impact Bond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Interview with Mr. Satyajit Salian, Tata Trusts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Preliminary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study agreement – to be kindly signed and emailed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shoot – 15 minutes, when would it be convenient?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Oral permission to record the interview (will help for transcribing notes)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3"/>
        <w:gridCol w:w="7997"/>
        <w:tblGridChange w:id="0">
          <w:tblGrid>
            <w:gridCol w:w="1353"/>
            <w:gridCol w:w="7997"/>
          </w:tblGrid>
        </w:tblGridChange>
      </w:tblGrid>
      <w:tr>
        <w:trPr>
          <w:cantSplit w:val="0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About IEOF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and how did Tata Trusts get involved in innovative financing on education?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did the idea of IEOF come up? How was the business plan made?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was the maturity of the education sector determined for launching IEOF?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what ways is the IEOF trying to transform education sector?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were the reasons for moving away from the traditional funding model?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extent of innovativeness of the programs supported and how much are proven initiatives going to be supported?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was it important to institute this fully at the domestic level? What is the role of international stakeholders, like the GSG?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Stakeholders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are the key stakeholders? How were they identified? What are their motivations and contributions? Have there been any changes in the key stakeholders involved, related reasons?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governments open to this concept and are they willing to support outcome funding?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what way have the two supporters Tata Trusts and Omidyar Network contributed? What role do you play currently in IEOF?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Experiences &amp; Insights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stage of implementation currently, with regards to IEOF and DIB?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initial experiences of IEOF and implementing the DIB?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there been any changes/revisions in the plans and targets after the initial implementation?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main challenges confronting IEOF and the DIB? At what stage did these challenges come up? How were the challenges addressed?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new opportunities have been identified and how will these be tapped?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key lessons learnt from the design, development, operationalization and implementation of the IEOF and the DIB?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questions need to be asked with regards to innovative financing based on the experience of IEOF and DIB?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what extent are these lessons transferable within the India and what lessons are transferable even outside India?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F492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FE15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6A590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5908"/>
  </w:style>
  <w:style w:type="paragraph" w:styleId="Footer">
    <w:name w:val="footer"/>
    <w:basedOn w:val="Normal"/>
    <w:link w:val="FooterChar"/>
    <w:uiPriority w:val="99"/>
    <w:unhideWhenUsed w:val="1"/>
    <w:rsid w:val="006A590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59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Oz+P/ycVnVDGqTmfeTf2HSoxlA==">CgMxLjAyCGguZ2pkZ3hzOAByITFXMGtzOVNyNlZGZXhxaWNhekhLNFZzRWkxNmZhLV9wTQ==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2019-11-01T02:31:00Z</dcterms:created>
  <dc:creator>Archana Mehendale</dc:creator>
</cp:coreProperties>
</file>