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C81B9" w14:textId="6971030A" w:rsidR="00365F21" w:rsidRPr="00B803CA" w:rsidRDefault="00B803CA" w:rsidP="00FC5F64">
      <w:pPr>
        <w:pStyle w:val="Title"/>
        <w:jc w:val="center"/>
      </w:pPr>
      <w:r w:rsidRPr="00B803CA">
        <w:t>India Education Outcomes Fund</w:t>
      </w:r>
    </w:p>
    <w:p w14:paraId="2F8E9590" w14:textId="373AAD80" w:rsidR="00B803CA" w:rsidRDefault="00B803CA" w:rsidP="00FC5F64">
      <w:pPr>
        <w:pStyle w:val="Title"/>
        <w:jc w:val="center"/>
      </w:pPr>
      <w:r w:rsidRPr="00B803CA">
        <w:t>A Teaching Case Study</w:t>
      </w:r>
    </w:p>
    <w:p w14:paraId="611ED25A" w14:textId="7678B224" w:rsidR="00B803CA" w:rsidRDefault="00B803CA" w:rsidP="00FC5F64">
      <w:pPr>
        <w:jc w:val="center"/>
      </w:pPr>
    </w:p>
    <w:p w14:paraId="0E044682" w14:textId="28F1E955" w:rsidR="00B803CA" w:rsidRPr="00627717" w:rsidRDefault="00627717" w:rsidP="00FC5F64">
      <w:pPr>
        <w:pStyle w:val="Heading1"/>
        <w:jc w:val="center"/>
        <w:rPr>
          <w:sz w:val="44"/>
          <w:szCs w:val="44"/>
        </w:rPr>
      </w:pPr>
      <w:r w:rsidRPr="00627717">
        <w:rPr>
          <w:sz w:val="44"/>
          <w:szCs w:val="44"/>
        </w:rPr>
        <w:t>Teaching Notes</w:t>
      </w:r>
    </w:p>
    <w:p w14:paraId="20F1A8D7" w14:textId="39999C6D" w:rsidR="00B803CA" w:rsidRDefault="00B803CA" w:rsidP="00FC5F64">
      <w:pPr>
        <w:jc w:val="center"/>
      </w:pPr>
    </w:p>
    <w:p w14:paraId="5512D1B2" w14:textId="4E037A2C" w:rsidR="0098012C" w:rsidRDefault="0098012C" w:rsidP="00FC5F64">
      <w:pPr>
        <w:jc w:val="center"/>
      </w:pPr>
    </w:p>
    <w:p w14:paraId="7672C206" w14:textId="77777777" w:rsidR="0098012C" w:rsidRDefault="0098012C" w:rsidP="00FC5F64">
      <w:pPr>
        <w:jc w:val="center"/>
      </w:pPr>
    </w:p>
    <w:p w14:paraId="4518616C" w14:textId="77777777" w:rsidR="00B803CA" w:rsidRDefault="00B803CA" w:rsidP="00FC5F64">
      <w:pPr>
        <w:jc w:val="center"/>
      </w:pPr>
    </w:p>
    <w:p w14:paraId="6D450A82" w14:textId="77777777" w:rsidR="00FF62C5" w:rsidRDefault="00FF62C5" w:rsidP="00FC5F64">
      <w:pPr>
        <w:jc w:val="center"/>
      </w:pPr>
    </w:p>
    <w:p w14:paraId="5EF69B88" w14:textId="0D33784D" w:rsidR="00B803CA" w:rsidRDefault="00B803CA" w:rsidP="00FC5F64">
      <w:pPr>
        <w:pStyle w:val="Subtitle"/>
        <w:jc w:val="center"/>
      </w:pPr>
      <w:r>
        <w:t>Prepared by</w:t>
      </w:r>
    </w:p>
    <w:p w14:paraId="7942D3A2" w14:textId="2D161274" w:rsidR="0098012C" w:rsidRDefault="0098012C" w:rsidP="00FC5F64">
      <w:pPr>
        <w:pStyle w:val="Heading2"/>
        <w:spacing w:before="0"/>
        <w:jc w:val="center"/>
      </w:pPr>
      <w:r>
        <w:t>Centre for Education Innovation and Action Research</w:t>
      </w:r>
    </w:p>
    <w:p w14:paraId="72387E5C" w14:textId="77777777" w:rsidR="00FF62C5" w:rsidRDefault="00B803CA" w:rsidP="00FC5F64">
      <w:pPr>
        <w:pStyle w:val="Heading2"/>
        <w:spacing w:before="0"/>
        <w:jc w:val="center"/>
      </w:pPr>
      <w:r>
        <w:t>Tata Institute of Social Sciences</w:t>
      </w:r>
    </w:p>
    <w:p w14:paraId="630A7F80" w14:textId="3DF1D050" w:rsidR="00B803CA" w:rsidRDefault="00B803CA" w:rsidP="00FC5F64">
      <w:pPr>
        <w:pStyle w:val="Heading2"/>
        <w:spacing w:before="0"/>
        <w:jc w:val="center"/>
      </w:pPr>
      <w:r>
        <w:t>Mumbai</w:t>
      </w:r>
      <w:r w:rsidR="00FF62C5">
        <w:t xml:space="preserve">, </w:t>
      </w:r>
      <w:r>
        <w:t>India</w:t>
      </w:r>
    </w:p>
    <w:p w14:paraId="66EB09CD" w14:textId="61E3DCA1" w:rsidR="00B803CA" w:rsidRDefault="00B803CA" w:rsidP="00FC5F64">
      <w:pPr>
        <w:jc w:val="center"/>
      </w:pPr>
    </w:p>
    <w:p w14:paraId="6A28B608" w14:textId="77777777" w:rsidR="0098012C" w:rsidRDefault="0098012C" w:rsidP="00FC5F64">
      <w:pPr>
        <w:jc w:val="center"/>
      </w:pPr>
    </w:p>
    <w:p w14:paraId="3C9F16AA" w14:textId="77777777" w:rsidR="0098012C" w:rsidRDefault="0098012C" w:rsidP="00FC5F64">
      <w:pPr>
        <w:jc w:val="center"/>
      </w:pPr>
    </w:p>
    <w:p w14:paraId="1D829806" w14:textId="77777777" w:rsidR="0098012C" w:rsidRDefault="0098012C" w:rsidP="00FC5F64">
      <w:pPr>
        <w:jc w:val="center"/>
      </w:pPr>
    </w:p>
    <w:p w14:paraId="7D94008C" w14:textId="3E354AC7" w:rsidR="00B803CA" w:rsidRDefault="00B803CA" w:rsidP="00FC5F64">
      <w:pPr>
        <w:pStyle w:val="Subtitle"/>
        <w:jc w:val="center"/>
      </w:pPr>
      <w:r>
        <w:t>Supported by</w:t>
      </w:r>
    </w:p>
    <w:p w14:paraId="6B11B1DF" w14:textId="67FAD728" w:rsidR="00B803CA" w:rsidRDefault="00B803CA" w:rsidP="00FC5F64">
      <w:pPr>
        <w:pStyle w:val="Heading2"/>
        <w:spacing w:before="0"/>
        <w:jc w:val="center"/>
      </w:pPr>
      <w:r>
        <w:t>NORRAG</w:t>
      </w:r>
      <w:r w:rsidR="00FF62C5">
        <w:t xml:space="preserve"> Network for international policies and cooperation in education and training</w:t>
      </w:r>
    </w:p>
    <w:p w14:paraId="1D1CFDF0" w14:textId="1C0B3F65" w:rsidR="00FF62C5" w:rsidRDefault="00FF62C5" w:rsidP="00FC5F64">
      <w:pPr>
        <w:pStyle w:val="Heading2"/>
        <w:spacing w:before="0"/>
        <w:jc w:val="center"/>
      </w:pPr>
      <w:r>
        <w:t>Geneva, Switzerland</w:t>
      </w:r>
    </w:p>
    <w:p w14:paraId="0B1D4FF8" w14:textId="7E9181F4" w:rsidR="0098012C" w:rsidRDefault="0098012C" w:rsidP="00FC5F64">
      <w:pPr>
        <w:pStyle w:val="Heading2"/>
        <w:jc w:val="center"/>
      </w:pPr>
    </w:p>
    <w:p w14:paraId="2F337BEE" w14:textId="72C3C368" w:rsidR="00763970" w:rsidRDefault="00763970">
      <w:r>
        <w:br w:type="page"/>
      </w:r>
    </w:p>
    <w:p w14:paraId="5B2C60D8" w14:textId="77777777" w:rsidR="0098012C" w:rsidRDefault="0098012C" w:rsidP="00B803CA">
      <w:pPr>
        <w:jc w:val="center"/>
      </w:pPr>
    </w:p>
    <w:p w14:paraId="448D9F5B" w14:textId="4B17B8D7" w:rsidR="00100D2D" w:rsidRPr="00100D2D" w:rsidRDefault="00100D2D" w:rsidP="00763970">
      <w:pPr>
        <w:pStyle w:val="Title"/>
      </w:pPr>
      <w:r w:rsidRPr="00100D2D">
        <w:t>Teaching Notes</w:t>
      </w:r>
    </w:p>
    <w:p w14:paraId="19F838BB" w14:textId="3B3245C8" w:rsidR="00F803D1" w:rsidRDefault="00100D2D" w:rsidP="00E0309F">
      <w:pPr>
        <w:pStyle w:val="Heading1"/>
        <w:rPr>
          <w:u w:color="4472C4" w:themeColor="accent1"/>
        </w:rPr>
      </w:pPr>
      <w:r w:rsidRPr="00324623">
        <w:rPr>
          <w:u w:color="4472C4" w:themeColor="accent1"/>
        </w:rPr>
        <w:t>Learning Objectives</w:t>
      </w:r>
    </w:p>
    <w:p w14:paraId="12ABD796" w14:textId="475D1C7C" w:rsidR="00E0309F" w:rsidRPr="00AF2193" w:rsidRDefault="00E0309F" w:rsidP="00E0309F">
      <w:pPr>
        <w:rPr>
          <w:sz w:val="20"/>
          <w:szCs w:val="20"/>
        </w:rPr>
      </w:pPr>
      <w:r w:rsidRPr="00AF2193">
        <w:rPr>
          <w:sz w:val="20"/>
          <w:szCs w:val="20"/>
        </w:rPr>
        <w:t>After reviewing the case study, completing the required readings, and the assessment</w:t>
      </w:r>
      <w:r w:rsidR="00040C1C" w:rsidRPr="00AF2193">
        <w:rPr>
          <w:sz w:val="20"/>
          <w:szCs w:val="20"/>
        </w:rPr>
        <w:t>s</w:t>
      </w:r>
      <w:r w:rsidRPr="00AF2193">
        <w:rPr>
          <w:sz w:val="20"/>
          <w:szCs w:val="20"/>
        </w:rPr>
        <w:t xml:space="preserve">, the participants would </w:t>
      </w:r>
      <w:r w:rsidR="00DB4B9A" w:rsidRPr="00AF2193">
        <w:rPr>
          <w:sz w:val="20"/>
          <w:szCs w:val="20"/>
        </w:rPr>
        <w:t>have</w:t>
      </w:r>
      <w:r w:rsidRPr="00AF2193">
        <w:rPr>
          <w:sz w:val="20"/>
          <w:szCs w:val="20"/>
        </w:rPr>
        <w:t>:</w:t>
      </w:r>
    </w:p>
    <w:p w14:paraId="5BD54989" w14:textId="38EB9ABB" w:rsidR="00F803D1" w:rsidRPr="00AF2193" w:rsidRDefault="00DB4B9A" w:rsidP="00F803D1">
      <w:pPr>
        <w:pStyle w:val="ListParagraph"/>
        <w:numPr>
          <w:ilvl w:val="0"/>
          <w:numId w:val="2"/>
        </w:numPr>
        <w:rPr>
          <w:sz w:val="20"/>
          <w:szCs w:val="20"/>
        </w:rPr>
      </w:pPr>
      <w:r w:rsidRPr="00AF2193">
        <w:rPr>
          <w:sz w:val="20"/>
          <w:szCs w:val="20"/>
        </w:rPr>
        <w:t xml:space="preserve">Described the key features of the IEOF and identified the existing challenges that </w:t>
      </w:r>
      <w:r w:rsidR="002C29E8" w:rsidRPr="00AF2193">
        <w:rPr>
          <w:sz w:val="20"/>
          <w:szCs w:val="20"/>
        </w:rPr>
        <w:t xml:space="preserve">the IEOF </w:t>
      </w:r>
      <w:r w:rsidRPr="00AF2193">
        <w:rPr>
          <w:sz w:val="20"/>
          <w:szCs w:val="20"/>
        </w:rPr>
        <w:t>is trying to address</w:t>
      </w:r>
      <w:r w:rsidR="00AF2193" w:rsidRPr="00AF2193">
        <w:rPr>
          <w:sz w:val="20"/>
          <w:szCs w:val="20"/>
        </w:rPr>
        <w:t>;</w:t>
      </w:r>
    </w:p>
    <w:p w14:paraId="40B791A6" w14:textId="419BCE67" w:rsidR="00F803D1" w:rsidRPr="00AF2193" w:rsidRDefault="002C29E8" w:rsidP="00F803D1">
      <w:pPr>
        <w:pStyle w:val="ListParagraph"/>
        <w:numPr>
          <w:ilvl w:val="0"/>
          <w:numId w:val="2"/>
        </w:numPr>
        <w:rPr>
          <w:b/>
          <w:bCs/>
          <w:sz w:val="20"/>
          <w:szCs w:val="20"/>
        </w:rPr>
      </w:pPr>
      <w:r w:rsidRPr="00AF2193">
        <w:rPr>
          <w:sz w:val="20"/>
          <w:szCs w:val="20"/>
        </w:rPr>
        <w:t>Compared the IEOF with the conventional funding</w:t>
      </w:r>
      <w:r w:rsidR="00040C1C" w:rsidRPr="00AF2193">
        <w:rPr>
          <w:sz w:val="20"/>
          <w:szCs w:val="20"/>
        </w:rPr>
        <w:t xml:space="preserve"> and a typical impact bond</w:t>
      </w:r>
      <w:r w:rsidRPr="00AF2193">
        <w:rPr>
          <w:sz w:val="20"/>
          <w:szCs w:val="20"/>
        </w:rPr>
        <w:t xml:space="preserve"> and articulated the differences</w:t>
      </w:r>
      <w:r w:rsidR="00AF2193" w:rsidRPr="00AF2193">
        <w:rPr>
          <w:sz w:val="20"/>
          <w:szCs w:val="20"/>
        </w:rPr>
        <w:t>;</w:t>
      </w:r>
    </w:p>
    <w:p w14:paraId="181D9BB5" w14:textId="114A106D" w:rsidR="00907CBA" w:rsidRPr="00AF2193" w:rsidRDefault="00040C1C" w:rsidP="00F803D1">
      <w:pPr>
        <w:pStyle w:val="ListParagraph"/>
        <w:numPr>
          <w:ilvl w:val="0"/>
          <w:numId w:val="2"/>
        </w:numPr>
        <w:rPr>
          <w:b/>
          <w:bCs/>
          <w:sz w:val="20"/>
          <w:szCs w:val="20"/>
        </w:rPr>
      </w:pPr>
      <w:r w:rsidRPr="00AF2193">
        <w:rPr>
          <w:sz w:val="20"/>
          <w:szCs w:val="20"/>
        </w:rPr>
        <w:t xml:space="preserve">Reflected on the process of creating the marketplace and </w:t>
      </w:r>
      <w:r w:rsidR="009C7947" w:rsidRPr="00AF2193">
        <w:rPr>
          <w:sz w:val="20"/>
          <w:szCs w:val="20"/>
        </w:rPr>
        <w:t>considered what goes into the process</w:t>
      </w:r>
      <w:r w:rsidR="00AF2193" w:rsidRPr="00AF2193">
        <w:rPr>
          <w:sz w:val="20"/>
          <w:szCs w:val="20"/>
        </w:rPr>
        <w:t>;</w:t>
      </w:r>
      <w:r w:rsidRPr="00AF2193">
        <w:rPr>
          <w:sz w:val="20"/>
          <w:szCs w:val="20"/>
        </w:rPr>
        <w:t xml:space="preserve"> </w:t>
      </w:r>
    </w:p>
    <w:p w14:paraId="62A8DA26" w14:textId="2F0B5178" w:rsidR="002C29E8" w:rsidRPr="00AF2193" w:rsidRDefault="00651C0A" w:rsidP="003C6BB3">
      <w:pPr>
        <w:pStyle w:val="ListParagraph"/>
        <w:numPr>
          <w:ilvl w:val="0"/>
          <w:numId w:val="2"/>
        </w:numPr>
        <w:spacing w:after="120"/>
        <w:rPr>
          <w:b/>
          <w:bCs/>
          <w:sz w:val="20"/>
          <w:szCs w:val="20"/>
        </w:rPr>
      </w:pPr>
      <w:r w:rsidRPr="00AF2193">
        <w:rPr>
          <w:sz w:val="20"/>
          <w:szCs w:val="20"/>
        </w:rPr>
        <w:t xml:space="preserve">Articulated the key challenges, issues and </w:t>
      </w:r>
      <w:r w:rsidR="00907CBA" w:rsidRPr="00AF2193">
        <w:rPr>
          <w:sz w:val="20"/>
          <w:szCs w:val="20"/>
        </w:rPr>
        <w:t>concerns about impact bonds and distilled lessons on impact investing emerging from the case study.</w:t>
      </w:r>
    </w:p>
    <w:p w14:paraId="0E53643C" w14:textId="19A63803" w:rsidR="00100D2D" w:rsidRDefault="00100D2D" w:rsidP="00763970">
      <w:pPr>
        <w:pStyle w:val="Heading1"/>
        <w:rPr>
          <w:u w:color="4472C4" w:themeColor="accent1"/>
        </w:rPr>
      </w:pPr>
      <w:r w:rsidRPr="00324623">
        <w:rPr>
          <w:u w:color="4472C4" w:themeColor="accent1"/>
        </w:rPr>
        <w:t>Discussion points</w:t>
      </w:r>
    </w:p>
    <w:p w14:paraId="037AB3F7" w14:textId="1C40B757" w:rsidR="00AE69B8" w:rsidRPr="00FE026A" w:rsidRDefault="00AE69B8" w:rsidP="007A6DE8">
      <w:pPr>
        <w:pStyle w:val="ListParagraph"/>
        <w:numPr>
          <w:ilvl w:val="0"/>
          <w:numId w:val="3"/>
        </w:numPr>
        <w:rPr>
          <w:sz w:val="20"/>
          <w:szCs w:val="20"/>
        </w:rPr>
      </w:pPr>
      <w:r w:rsidRPr="00FE026A">
        <w:rPr>
          <w:sz w:val="20"/>
          <w:szCs w:val="20"/>
        </w:rPr>
        <w:t xml:space="preserve">What are the key challenges in education financing in India and </w:t>
      </w:r>
      <w:r w:rsidR="009F5C6C" w:rsidRPr="00FE026A">
        <w:rPr>
          <w:sz w:val="20"/>
          <w:szCs w:val="20"/>
        </w:rPr>
        <w:t xml:space="preserve">in what way </w:t>
      </w:r>
      <w:r w:rsidRPr="00FE026A">
        <w:rPr>
          <w:sz w:val="20"/>
          <w:szCs w:val="20"/>
        </w:rPr>
        <w:t>does IEOF attempt to address the</w:t>
      </w:r>
      <w:r w:rsidR="00890F6C" w:rsidRPr="00FE026A">
        <w:rPr>
          <w:sz w:val="20"/>
          <w:szCs w:val="20"/>
        </w:rPr>
        <w:t>se</w:t>
      </w:r>
      <w:r w:rsidRPr="00FE026A">
        <w:rPr>
          <w:sz w:val="20"/>
          <w:szCs w:val="20"/>
        </w:rPr>
        <w:t xml:space="preserve"> challenges? </w:t>
      </w:r>
    </w:p>
    <w:p w14:paraId="711D1E53" w14:textId="60C5AC7E" w:rsidR="00FB5260" w:rsidRPr="00FE026A" w:rsidRDefault="00FB5260" w:rsidP="007A6DE8">
      <w:pPr>
        <w:pStyle w:val="ListParagraph"/>
        <w:numPr>
          <w:ilvl w:val="0"/>
          <w:numId w:val="3"/>
        </w:numPr>
        <w:rPr>
          <w:sz w:val="20"/>
          <w:szCs w:val="20"/>
        </w:rPr>
      </w:pPr>
      <w:r w:rsidRPr="00FE026A">
        <w:rPr>
          <w:sz w:val="20"/>
          <w:szCs w:val="20"/>
        </w:rPr>
        <w:t>How does IEOF compare with the conventional funding and typical impact bond structure</w:t>
      </w:r>
      <w:r w:rsidR="00EF1E3C" w:rsidRPr="00FE026A">
        <w:rPr>
          <w:sz w:val="20"/>
          <w:szCs w:val="20"/>
        </w:rPr>
        <w:t xml:space="preserve">? Compare their strengths and limitations. </w:t>
      </w:r>
    </w:p>
    <w:p w14:paraId="3232C021" w14:textId="1FE01783" w:rsidR="00AC0FD2" w:rsidRPr="00FE026A" w:rsidRDefault="00CB727C" w:rsidP="007A6DE8">
      <w:pPr>
        <w:pStyle w:val="ListParagraph"/>
        <w:numPr>
          <w:ilvl w:val="0"/>
          <w:numId w:val="3"/>
        </w:numPr>
        <w:rPr>
          <w:sz w:val="20"/>
          <w:szCs w:val="20"/>
        </w:rPr>
      </w:pPr>
      <w:r w:rsidRPr="00FE026A">
        <w:rPr>
          <w:sz w:val="20"/>
          <w:szCs w:val="20"/>
        </w:rPr>
        <w:t>What are the ‘innovative’ elements of the IEOF approach and structures?</w:t>
      </w:r>
      <w:r w:rsidR="00AC0FD2" w:rsidRPr="00FE026A">
        <w:rPr>
          <w:sz w:val="20"/>
          <w:szCs w:val="20"/>
        </w:rPr>
        <w:t xml:space="preserve"> Compare this structure to 2 to 3 other traditional funding structures</w:t>
      </w:r>
      <w:r w:rsidR="003A2D05" w:rsidRPr="00FE026A">
        <w:rPr>
          <w:sz w:val="20"/>
          <w:szCs w:val="20"/>
        </w:rPr>
        <w:t xml:space="preserve"> that are commonly used in education. Compare this structure with innovative financing structures that you are familiar with.</w:t>
      </w:r>
    </w:p>
    <w:p w14:paraId="08996E47" w14:textId="0A625146" w:rsidR="00B93D71" w:rsidRPr="00FE026A" w:rsidRDefault="004949C0" w:rsidP="007A6DE8">
      <w:pPr>
        <w:pStyle w:val="ListParagraph"/>
        <w:numPr>
          <w:ilvl w:val="0"/>
          <w:numId w:val="3"/>
        </w:numPr>
        <w:rPr>
          <w:sz w:val="20"/>
          <w:szCs w:val="20"/>
        </w:rPr>
      </w:pPr>
      <w:r w:rsidRPr="00FE026A">
        <w:rPr>
          <w:sz w:val="20"/>
          <w:szCs w:val="20"/>
        </w:rPr>
        <w:t>Who are the key actors in the IEOF, and w</w:t>
      </w:r>
      <w:r w:rsidR="00B93D71" w:rsidRPr="00FE026A">
        <w:rPr>
          <w:sz w:val="20"/>
          <w:szCs w:val="20"/>
        </w:rPr>
        <w:t>hat is the primary incentive for each of the actors to engage in the structure?</w:t>
      </w:r>
    </w:p>
    <w:p w14:paraId="78D48FD1" w14:textId="545C3B28" w:rsidR="00177977" w:rsidRPr="00FE026A" w:rsidRDefault="00177977" w:rsidP="007A6DE8">
      <w:pPr>
        <w:pStyle w:val="ListParagraph"/>
        <w:numPr>
          <w:ilvl w:val="0"/>
          <w:numId w:val="3"/>
        </w:numPr>
        <w:rPr>
          <w:sz w:val="20"/>
          <w:szCs w:val="20"/>
        </w:rPr>
      </w:pPr>
      <w:r w:rsidRPr="00FE026A">
        <w:rPr>
          <w:sz w:val="20"/>
          <w:szCs w:val="20"/>
        </w:rPr>
        <w:t xml:space="preserve">Do you think the ‘decision tree’ </w:t>
      </w:r>
      <w:r w:rsidR="008C58B8" w:rsidRPr="00FE026A">
        <w:rPr>
          <w:sz w:val="20"/>
          <w:szCs w:val="20"/>
        </w:rPr>
        <w:t xml:space="preserve">used by IEOF </w:t>
      </w:r>
      <w:r w:rsidRPr="00FE026A">
        <w:rPr>
          <w:sz w:val="20"/>
          <w:szCs w:val="20"/>
        </w:rPr>
        <w:t>to determine what is a DIB-able intervention</w:t>
      </w:r>
      <w:r w:rsidR="008C58B8" w:rsidRPr="00FE026A">
        <w:rPr>
          <w:sz w:val="20"/>
          <w:szCs w:val="20"/>
        </w:rPr>
        <w:t xml:space="preserve"> is adequate? What criteria </w:t>
      </w:r>
      <w:r w:rsidR="00E7309F" w:rsidRPr="00FE026A">
        <w:rPr>
          <w:sz w:val="20"/>
          <w:szCs w:val="20"/>
        </w:rPr>
        <w:t>would</w:t>
      </w:r>
      <w:r w:rsidR="008C58B8" w:rsidRPr="00FE026A">
        <w:rPr>
          <w:sz w:val="20"/>
          <w:szCs w:val="20"/>
        </w:rPr>
        <w:t xml:space="preserve"> you add or remove in order to make it useable in your context? </w:t>
      </w:r>
    </w:p>
    <w:p w14:paraId="433C75FA" w14:textId="7A4A8C04" w:rsidR="00CB727C" w:rsidRPr="00FE026A" w:rsidRDefault="00CB727C" w:rsidP="007A6DE8">
      <w:pPr>
        <w:pStyle w:val="ListParagraph"/>
        <w:numPr>
          <w:ilvl w:val="0"/>
          <w:numId w:val="3"/>
        </w:numPr>
        <w:rPr>
          <w:sz w:val="20"/>
          <w:szCs w:val="20"/>
        </w:rPr>
      </w:pPr>
      <w:r w:rsidRPr="00FE026A">
        <w:rPr>
          <w:sz w:val="20"/>
          <w:szCs w:val="20"/>
        </w:rPr>
        <w:t xml:space="preserve">How can one determine the sweet spot between supporting experimentation and funding proven programs? </w:t>
      </w:r>
    </w:p>
    <w:p w14:paraId="7627CA72" w14:textId="77777777" w:rsidR="00DD5DFF" w:rsidRPr="00FE026A" w:rsidRDefault="00DD5DFF" w:rsidP="007A6DE8">
      <w:pPr>
        <w:pStyle w:val="ListParagraph"/>
        <w:numPr>
          <w:ilvl w:val="0"/>
          <w:numId w:val="3"/>
        </w:numPr>
        <w:rPr>
          <w:sz w:val="20"/>
          <w:szCs w:val="20"/>
        </w:rPr>
      </w:pPr>
      <w:r w:rsidRPr="00FE026A">
        <w:rPr>
          <w:sz w:val="20"/>
          <w:szCs w:val="20"/>
        </w:rPr>
        <w:t>How do the different actors perceive and define “risk”?</w:t>
      </w:r>
    </w:p>
    <w:p w14:paraId="1B147C0B" w14:textId="3B81B455" w:rsidR="00711911" w:rsidRPr="00FE026A" w:rsidRDefault="006858B6" w:rsidP="007A6DE8">
      <w:pPr>
        <w:pStyle w:val="ListParagraph"/>
        <w:numPr>
          <w:ilvl w:val="0"/>
          <w:numId w:val="3"/>
        </w:numPr>
        <w:rPr>
          <w:sz w:val="20"/>
          <w:szCs w:val="20"/>
        </w:rPr>
      </w:pPr>
      <w:r w:rsidRPr="00FE026A">
        <w:rPr>
          <w:sz w:val="20"/>
          <w:szCs w:val="20"/>
        </w:rPr>
        <w:t xml:space="preserve">In what way is the pilot DIB unconventional and in what way is it not? </w:t>
      </w:r>
    </w:p>
    <w:p w14:paraId="28030C4E" w14:textId="62CE3001" w:rsidR="00CB727C" w:rsidRPr="00FE026A" w:rsidRDefault="006038EA" w:rsidP="007A6DE8">
      <w:pPr>
        <w:pStyle w:val="ListParagraph"/>
        <w:numPr>
          <w:ilvl w:val="0"/>
          <w:numId w:val="3"/>
        </w:numPr>
        <w:rPr>
          <w:sz w:val="20"/>
          <w:szCs w:val="20"/>
        </w:rPr>
      </w:pPr>
      <w:r w:rsidRPr="00FE026A">
        <w:rPr>
          <w:sz w:val="20"/>
          <w:szCs w:val="20"/>
        </w:rPr>
        <w:t>How can IEOF create impact at scale if its absorptive capacity requirements are being met by only a few organizations? What would have to be done differently?</w:t>
      </w:r>
    </w:p>
    <w:p w14:paraId="5DCCA883" w14:textId="4226E814" w:rsidR="006038EA" w:rsidRPr="00FE026A" w:rsidRDefault="006038EA" w:rsidP="007A6DE8">
      <w:pPr>
        <w:pStyle w:val="ListParagraph"/>
        <w:numPr>
          <w:ilvl w:val="0"/>
          <w:numId w:val="3"/>
        </w:numPr>
        <w:rPr>
          <w:sz w:val="20"/>
          <w:szCs w:val="20"/>
        </w:rPr>
      </w:pPr>
      <w:r w:rsidRPr="00FE026A">
        <w:rPr>
          <w:sz w:val="20"/>
          <w:szCs w:val="20"/>
        </w:rPr>
        <w:t xml:space="preserve">What challenges </w:t>
      </w:r>
      <w:r w:rsidR="006373F2" w:rsidRPr="00FE026A">
        <w:rPr>
          <w:sz w:val="20"/>
          <w:szCs w:val="20"/>
        </w:rPr>
        <w:t xml:space="preserve">do </w:t>
      </w:r>
      <w:r w:rsidRPr="00FE026A">
        <w:rPr>
          <w:sz w:val="20"/>
          <w:szCs w:val="20"/>
        </w:rPr>
        <w:t xml:space="preserve">you foresee in development of outcome rate cards? </w:t>
      </w:r>
      <w:r w:rsidR="006373F2" w:rsidRPr="00FE026A">
        <w:rPr>
          <w:sz w:val="20"/>
          <w:szCs w:val="20"/>
        </w:rPr>
        <w:t>What</w:t>
      </w:r>
      <w:r w:rsidRPr="00FE026A">
        <w:rPr>
          <w:sz w:val="20"/>
          <w:szCs w:val="20"/>
        </w:rPr>
        <w:t xml:space="preserve"> solutions can you offer to address these challenges?</w:t>
      </w:r>
    </w:p>
    <w:p w14:paraId="69A20EBF" w14:textId="0C15CC21" w:rsidR="0048068F" w:rsidRPr="00FE026A" w:rsidRDefault="0048068F" w:rsidP="007A6DE8">
      <w:pPr>
        <w:pStyle w:val="ListParagraph"/>
        <w:numPr>
          <w:ilvl w:val="0"/>
          <w:numId w:val="3"/>
        </w:numPr>
        <w:rPr>
          <w:sz w:val="20"/>
          <w:szCs w:val="20"/>
        </w:rPr>
      </w:pPr>
      <w:r w:rsidRPr="00FE026A">
        <w:rPr>
          <w:sz w:val="20"/>
          <w:szCs w:val="20"/>
        </w:rPr>
        <w:t>How can the costs of monitoring and evaluation be kept to the minimum, without compromising on the quality of tracking and assessments?</w:t>
      </w:r>
    </w:p>
    <w:p w14:paraId="3B44B27B" w14:textId="5F285657" w:rsidR="002503F9" w:rsidRPr="003C6BB3" w:rsidRDefault="002503F9" w:rsidP="007A6DE8">
      <w:pPr>
        <w:pStyle w:val="ListParagraph"/>
        <w:numPr>
          <w:ilvl w:val="0"/>
          <w:numId w:val="3"/>
        </w:numPr>
        <w:rPr>
          <w:sz w:val="20"/>
          <w:szCs w:val="20"/>
        </w:rPr>
      </w:pPr>
      <w:r w:rsidRPr="003C6BB3">
        <w:rPr>
          <w:sz w:val="20"/>
          <w:szCs w:val="20"/>
        </w:rPr>
        <w:lastRenderedPageBreak/>
        <w:t>What lessons can you draw from the learning about the process of setting up the IEOF? What according to you are the biggest bottlenecks and how can they be addressed?</w:t>
      </w:r>
    </w:p>
    <w:p w14:paraId="26BC42C1" w14:textId="4F4766DF" w:rsidR="00A37C08" w:rsidRDefault="007F1E1F" w:rsidP="007F1E1F">
      <w:pPr>
        <w:pStyle w:val="Heading1"/>
      </w:pPr>
      <w:r>
        <w:t>Facilitator Notes</w:t>
      </w:r>
    </w:p>
    <w:p w14:paraId="07577E53" w14:textId="0A1655A1" w:rsidR="007F1E1F" w:rsidRPr="0026553F" w:rsidRDefault="00A34A02" w:rsidP="002503F9">
      <w:pPr>
        <w:rPr>
          <w:sz w:val="20"/>
          <w:szCs w:val="20"/>
        </w:rPr>
      </w:pPr>
      <w:r w:rsidRPr="0026553F">
        <w:rPr>
          <w:sz w:val="20"/>
          <w:szCs w:val="20"/>
        </w:rPr>
        <w:t>Depending on the objectives of the course, background of the participants and the duration of the session, the facilitators can do the following:</w:t>
      </w:r>
    </w:p>
    <w:p w14:paraId="3C40EEB8" w14:textId="7A55E339" w:rsidR="00A34A02" w:rsidRPr="0026553F" w:rsidRDefault="00A34A02" w:rsidP="002503F9">
      <w:pPr>
        <w:rPr>
          <w:sz w:val="20"/>
          <w:szCs w:val="20"/>
        </w:rPr>
      </w:pPr>
      <w:r w:rsidRPr="0026553F">
        <w:rPr>
          <w:sz w:val="20"/>
          <w:szCs w:val="20"/>
        </w:rPr>
        <w:t xml:space="preserve">They can </w:t>
      </w:r>
      <w:r w:rsidR="002404E4" w:rsidRPr="0026553F">
        <w:rPr>
          <w:sz w:val="20"/>
          <w:szCs w:val="20"/>
        </w:rPr>
        <w:t xml:space="preserve">request the participants to read the case study before the session and come to the session after having reflected on their major takeaways and questions. The facilitators can themselves read the case study and the required readings before the session. It would help if the facilitators review the discussion questions and choose from the questions provided a few that they would like to focus on. It is not advisable to use all the discussion points. At the start of the session, facilitators can summarize the case study and locate it within the </w:t>
      </w:r>
      <w:r w:rsidR="00C512E3" w:rsidRPr="0026553F">
        <w:rPr>
          <w:sz w:val="20"/>
          <w:szCs w:val="20"/>
        </w:rPr>
        <w:t>relevant material suggested in the required readings. They can then open</w:t>
      </w:r>
      <w:r w:rsidR="002404E4" w:rsidRPr="0026553F">
        <w:rPr>
          <w:sz w:val="20"/>
          <w:szCs w:val="20"/>
        </w:rPr>
        <w:t xml:space="preserve"> the session to participants to ask any questions or make any observations about the material. </w:t>
      </w:r>
      <w:r w:rsidR="00C512E3" w:rsidRPr="0026553F">
        <w:rPr>
          <w:sz w:val="20"/>
          <w:szCs w:val="20"/>
        </w:rPr>
        <w:t xml:space="preserve">This would also be the time to explain technical terms, and clarify concepts that are unfamiliar. </w:t>
      </w:r>
    </w:p>
    <w:p w14:paraId="55C4AEBD" w14:textId="38E6DDA2" w:rsidR="00A37C08" w:rsidRPr="0026553F" w:rsidRDefault="00C512E3" w:rsidP="00A37C08">
      <w:pPr>
        <w:rPr>
          <w:sz w:val="20"/>
          <w:szCs w:val="20"/>
        </w:rPr>
      </w:pPr>
      <w:r w:rsidRPr="0026553F">
        <w:rPr>
          <w:sz w:val="20"/>
          <w:szCs w:val="20"/>
        </w:rPr>
        <w:t xml:space="preserve">The facilitators can build on the questions asked and observations made and then introduce the questions that they have selected for discussion. </w:t>
      </w:r>
      <w:r w:rsidR="0026553F" w:rsidRPr="0026553F">
        <w:rPr>
          <w:sz w:val="20"/>
          <w:szCs w:val="20"/>
        </w:rPr>
        <w:t>The objective of opening the discussion would be to encourage participants to think</w:t>
      </w:r>
      <w:r w:rsidR="0026553F">
        <w:rPr>
          <w:sz w:val="20"/>
          <w:szCs w:val="20"/>
        </w:rPr>
        <w:t xml:space="preserve"> and identify problems and solutions. </w:t>
      </w:r>
      <w:r w:rsidR="00DA51D3">
        <w:rPr>
          <w:sz w:val="20"/>
          <w:szCs w:val="20"/>
        </w:rPr>
        <w:t xml:space="preserve">The questions listed above roughly follow the sequence in which the case study has been written. The discussions need to be kept organic so as to build and move from one question to another. Depending on the interest and background of the participants, facilitators can keep the discussions at an abstract level by presenting alternative scenarios or </w:t>
      </w:r>
      <w:r w:rsidR="0002763C">
        <w:rPr>
          <w:sz w:val="20"/>
          <w:szCs w:val="20"/>
        </w:rPr>
        <w:t xml:space="preserve">they </w:t>
      </w:r>
      <w:r w:rsidR="00DA51D3">
        <w:rPr>
          <w:sz w:val="20"/>
          <w:szCs w:val="20"/>
        </w:rPr>
        <w:t xml:space="preserve">can be at an applied level, </w:t>
      </w:r>
      <w:r w:rsidR="0002763C">
        <w:rPr>
          <w:sz w:val="20"/>
          <w:szCs w:val="20"/>
        </w:rPr>
        <w:t xml:space="preserve">where </w:t>
      </w:r>
      <w:r w:rsidR="00DA51D3">
        <w:rPr>
          <w:sz w:val="20"/>
          <w:szCs w:val="20"/>
        </w:rPr>
        <w:t xml:space="preserve">participants </w:t>
      </w:r>
      <w:r w:rsidR="0002763C">
        <w:rPr>
          <w:sz w:val="20"/>
          <w:szCs w:val="20"/>
        </w:rPr>
        <w:t>are invited to apply the lessons to their specific contexts.</w:t>
      </w:r>
    </w:p>
    <w:p w14:paraId="236BC7BF" w14:textId="63D947D5" w:rsidR="00F22011" w:rsidRDefault="00041057" w:rsidP="00F22011">
      <w:pPr>
        <w:pStyle w:val="Heading1"/>
        <w:rPr>
          <w:sz w:val="20"/>
          <w:szCs w:val="20"/>
        </w:rPr>
      </w:pPr>
      <w:r>
        <w:rPr>
          <w:u w:color="4472C4" w:themeColor="accent1"/>
        </w:rPr>
        <w:t>Suggested</w:t>
      </w:r>
      <w:r w:rsidR="00E0309F" w:rsidRPr="00E0309F">
        <w:rPr>
          <w:u w:color="4472C4" w:themeColor="accent1"/>
        </w:rPr>
        <w:t xml:space="preserve"> </w:t>
      </w:r>
      <w:r w:rsidR="00EA7C30">
        <w:rPr>
          <w:u w:color="4472C4" w:themeColor="accent1"/>
        </w:rPr>
        <w:t>R</w:t>
      </w:r>
      <w:r w:rsidR="00E0309F" w:rsidRPr="00E0309F">
        <w:rPr>
          <w:u w:color="4472C4" w:themeColor="accent1"/>
        </w:rPr>
        <w:t>eadings</w:t>
      </w:r>
    </w:p>
    <w:p w14:paraId="78306CEE" w14:textId="5B068010" w:rsidR="00A837B2" w:rsidRPr="007F1E1F" w:rsidRDefault="00A837B2" w:rsidP="00A837B2">
      <w:pPr>
        <w:rPr>
          <w:sz w:val="20"/>
          <w:szCs w:val="20"/>
        </w:rPr>
      </w:pPr>
      <w:r w:rsidRPr="007F1E1F">
        <w:rPr>
          <w:sz w:val="20"/>
          <w:szCs w:val="20"/>
        </w:rPr>
        <w:t xml:space="preserve">Bellinger, A., and Fletcher, B. (2014). Non-Traditional Financing for Education. Economics and Private Sector, Professional Evidence and Applied Knowledge Services (EPS-PEAK). </w:t>
      </w:r>
      <w:hyperlink r:id="rId8" w:history="1">
        <w:r w:rsidRPr="007F1E1F">
          <w:rPr>
            <w:rStyle w:val="Hyperlink"/>
            <w:sz w:val="20"/>
            <w:szCs w:val="20"/>
          </w:rPr>
          <w:t>https://educationinnovations.org/sites/default/files/Non%20Traditional%20Financing%20for%20Education%20Topic%20Guide%20%282%29.pdf</w:t>
        </w:r>
      </w:hyperlink>
    </w:p>
    <w:p w14:paraId="5BFB698A" w14:textId="77777777" w:rsidR="00A837B2" w:rsidRPr="007F1E1F" w:rsidRDefault="00A837B2" w:rsidP="00A837B2">
      <w:pPr>
        <w:rPr>
          <w:sz w:val="20"/>
          <w:szCs w:val="20"/>
        </w:rPr>
      </w:pPr>
      <w:r w:rsidRPr="007F1E1F">
        <w:rPr>
          <w:sz w:val="20"/>
          <w:szCs w:val="20"/>
        </w:rPr>
        <w:t xml:space="preserve">Bellinger, A., </w:t>
      </w:r>
      <w:proofErr w:type="spellStart"/>
      <w:r w:rsidRPr="007F1E1F">
        <w:rPr>
          <w:sz w:val="20"/>
          <w:szCs w:val="20"/>
        </w:rPr>
        <w:t>Terway</w:t>
      </w:r>
      <w:proofErr w:type="spellEnd"/>
      <w:r w:rsidRPr="007F1E1F">
        <w:rPr>
          <w:sz w:val="20"/>
          <w:szCs w:val="20"/>
        </w:rPr>
        <w:t xml:space="preserve">, A., Burnett, N. (2016). Innovative Financing Recommendations: International Commission on Financing Global Education. Washington D.C. Results for Development Institute. </w:t>
      </w:r>
      <w:hyperlink r:id="rId9" w:history="1">
        <w:r w:rsidRPr="007F1E1F">
          <w:rPr>
            <w:rStyle w:val="Hyperlink"/>
            <w:sz w:val="20"/>
            <w:szCs w:val="20"/>
          </w:rPr>
          <w:t>https://www.r4d.org/wp-content/uploads/Innovative-Financing-Recommendations.pdf</w:t>
        </w:r>
      </w:hyperlink>
    </w:p>
    <w:p w14:paraId="0132CBB6" w14:textId="77777777" w:rsidR="00284D81" w:rsidRDefault="00667605" w:rsidP="00F95BF5">
      <w:pPr>
        <w:rPr>
          <w:rStyle w:val="Hyperlink"/>
          <w:sz w:val="20"/>
          <w:szCs w:val="20"/>
        </w:rPr>
      </w:pPr>
      <w:r w:rsidRPr="007F1E1F">
        <w:rPr>
          <w:sz w:val="20"/>
          <w:szCs w:val="20"/>
        </w:rPr>
        <w:t xml:space="preserve">Confederation of Indian Industry, Edu Summit 11 and PWC. </w:t>
      </w:r>
      <w:r w:rsidR="006506BC" w:rsidRPr="007F1E1F">
        <w:rPr>
          <w:sz w:val="20"/>
          <w:szCs w:val="20"/>
        </w:rPr>
        <w:t xml:space="preserve">(n.d.). </w:t>
      </w:r>
      <w:proofErr w:type="spellStart"/>
      <w:r w:rsidRPr="007F1E1F">
        <w:rPr>
          <w:sz w:val="20"/>
          <w:szCs w:val="20"/>
        </w:rPr>
        <w:t>Catalysing</w:t>
      </w:r>
      <w:proofErr w:type="spellEnd"/>
      <w:r w:rsidRPr="007F1E1F">
        <w:rPr>
          <w:sz w:val="20"/>
          <w:szCs w:val="20"/>
        </w:rPr>
        <w:t xml:space="preserve"> Growth: Education Sector in the Northern Region. </w:t>
      </w:r>
      <w:hyperlink r:id="rId10" w:history="1">
        <w:r w:rsidR="00FF6657" w:rsidRPr="007F1E1F">
          <w:rPr>
            <w:rStyle w:val="Hyperlink"/>
            <w:sz w:val="20"/>
            <w:szCs w:val="20"/>
          </w:rPr>
          <w:t>https://www.pwc.in/assets/pdfs/publications-2011/catalysing_growth_education_sector_in_the_northern_region.pdf</w:t>
        </w:r>
      </w:hyperlink>
    </w:p>
    <w:p w14:paraId="72818FD0" w14:textId="654E201C" w:rsidR="00F95BF5" w:rsidRPr="007F1E1F" w:rsidRDefault="00F95BF5" w:rsidP="00F95BF5">
      <w:pPr>
        <w:rPr>
          <w:color w:val="0000FF"/>
          <w:sz w:val="20"/>
          <w:szCs w:val="20"/>
          <w:u w:val="single"/>
        </w:rPr>
      </w:pPr>
      <w:proofErr w:type="spellStart"/>
      <w:r w:rsidRPr="007F1E1F">
        <w:rPr>
          <w:sz w:val="20"/>
          <w:szCs w:val="20"/>
        </w:rPr>
        <w:lastRenderedPageBreak/>
        <w:t>Dadush</w:t>
      </w:r>
      <w:proofErr w:type="spellEnd"/>
      <w:r w:rsidRPr="007F1E1F">
        <w:rPr>
          <w:sz w:val="20"/>
          <w:szCs w:val="20"/>
        </w:rPr>
        <w:t xml:space="preserve">, S. (2015). Regulating Social Finance: Can Social Stock Exchanges Meet the Challenge? University of Pennsylvania Journal of International Law. Vol 37:1. </w:t>
      </w:r>
      <w:hyperlink r:id="rId11" w:history="1">
        <w:r w:rsidRPr="007F1E1F">
          <w:rPr>
            <w:rStyle w:val="Hyperlink"/>
            <w:sz w:val="20"/>
            <w:szCs w:val="20"/>
          </w:rPr>
          <w:t>https://scholarship.law.upenn.edu/cgi/viewcontent.cgi?article=1906&amp;context=jil</w:t>
        </w:r>
      </w:hyperlink>
    </w:p>
    <w:p w14:paraId="6E7599A7" w14:textId="58B1FD06" w:rsidR="00F95BF5" w:rsidRDefault="00F95BF5" w:rsidP="00F95BF5">
      <w:pPr>
        <w:rPr>
          <w:rStyle w:val="Hyperlink"/>
          <w:sz w:val="20"/>
          <w:szCs w:val="20"/>
        </w:rPr>
      </w:pPr>
      <w:r w:rsidRPr="007F1E1F">
        <w:rPr>
          <w:sz w:val="20"/>
          <w:szCs w:val="20"/>
        </w:rPr>
        <w:t xml:space="preserve">Davis </w:t>
      </w:r>
      <w:proofErr w:type="spellStart"/>
      <w:r w:rsidRPr="007F1E1F">
        <w:rPr>
          <w:sz w:val="20"/>
          <w:szCs w:val="20"/>
        </w:rPr>
        <w:t>Pluess</w:t>
      </w:r>
      <w:proofErr w:type="spellEnd"/>
      <w:r w:rsidRPr="007F1E1F">
        <w:rPr>
          <w:sz w:val="20"/>
          <w:szCs w:val="20"/>
        </w:rPr>
        <w:t xml:space="preserve">, J., </w:t>
      </w:r>
      <w:proofErr w:type="spellStart"/>
      <w:r w:rsidRPr="007F1E1F">
        <w:rPr>
          <w:sz w:val="20"/>
          <w:szCs w:val="20"/>
        </w:rPr>
        <w:t>Govan</w:t>
      </w:r>
      <w:proofErr w:type="spellEnd"/>
      <w:r w:rsidRPr="007F1E1F">
        <w:rPr>
          <w:sz w:val="20"/>
          <w:szCs w:val="20"/>
        </w:rPr>
        <w:t xml:space="preserve">, S., </w:t>
      </w:r>
      <w:proofErr w:type="spellStart"/>
      <w:r w:rsidRPr="007F1E1F">
        <w:rPr>
          <w:sz w:val="20"/>
          <w:szCs w:val="20"/>
        </w:rPr>
        <w:t>Pelaez</w:t>
      </w:r>
      <w:proofErr w:type="spellEnd"/>
      <w:r w:rsidRPr="007F1E1F">
        <w:rPr>
          <w:sz w:val="20"/>
          <w:szCs w:val="20"/>
        </w:rPr>
        <w:t xml:space="preserve">, P. (2015). Conditions for Scaling Investment in Social Finance. BSR Report, BSR. </w:t>
      </w:r>
      <w:hyperlink r:id="rId12" w:history="1">
        <w:r w:rsidRPr="007F1E1F">
          <w:rPr>
            <w:rStyle w:val="Hyperlink"/>
            <w:sz w:val="20"/>
            <w:szCs w:val="20"/>
          </w:rPr>
          <w:t>https://www.bsr.org/reports/BSR_Conditions_for_Scaling_Social_Finance_2015.pdf</w:t>
        </w:r>
      </w:hyperlink>
    </w:p>
    <w:p w14:paraId="4848B429" w14:textId="77777777" w:rsidR="009955F5" w:rsidRPr="007F1E1F" w:rsidRDefault="009955F5" w:rsidP="009955F5">
      <w:pPr>
        <w:rPr>
          <w:sz w:val="20"/>
          <w:szCs w:val="20"/>
        </w:rPr>
      </w:pPr>
      <w:r w:rsidRPr="007F1E1F">
        <w:rPr>
          <w:sz w:val="20"/>
          <w:szCs w:val="20"/>
        </w:rPr>
        <w:t xml:space="preserve">EY and FICCI (2014). Private Sector’s Contribution to K-12 Education in India: Current impact, challenges and way forward. </w:t>
      </w:r>
      <w:hyperlink r:id="rId13" w:history="1">
        <w:r w:rsidRPr="007F1E1F">
          <w:rPr>
            <w:rStyle w:val="Hyperlink"/>
            <w:sz w:val="20"/>
            <w:szCs w:val="20"/>
          </w:rPr>
          <w:t>http://ficci.in/spdocument/20385/ey-ficci-report-education.pdf</w:t>
        </w:r>
      </w:hyperlink>
    </w:p>
    <w:p w14:paraId="309489F7" w14:textId="77777777" w:rsidR="00F95BF5" w:rsidRPr="007F1E1F" w:rsidRDefault="00F95BF5" w:rsidP="00F95BF5">
      <w:pPr>
        <w:rPr>
          <w:sz w:val="20"/>
          <w:szCs w:val="20"/>
        </w:rPr>
      </w:pPr>
      <w:r w:rsidRPr="007F1E1F">
        <w:rPr>
          <w:sz w:val="20"/>
          <w:szCs w:val="20"/>
        </w:rPr>
        <w:t xml:space="preserve">Global Impact Investing Network (GINN), and USAID (2019). Annual Impact Investor Survey. </w:t>
      </w:r>
      <w:hyperlink r:id="rId14" w:history="1">
        <w:r w:rsidRPr="007F1E1F">
          <w:rPr>
            <w:rStyle w:val="Hyperlink"/>
            <w:sz w:val="20"/>
            <w:szCs w:val="20"/>
          </w:rPr>
          <w:t>https://thegiin.org/assets/GIIN_2019%20Annual%20Impact%20Investor%20Survey_webfile.pdf</w:t>
        </w:r>
      </w:hyperlink>
    </w:p>
    <w:p w14:paraId="784AF3BE" w14:textId="6056EAFA" w:rsidR="00F95BF5" w:rsidRPr="007F1E1F" w:rsidRDefault="00F95BF5" w:rsidP="00F95BF5">
      <w:pPr>
        <w:rPr>
          <w:rStyle w:val="Hyperlink"/>
          <w:sz w:val="20"/>
          <w:szCs w:val="20"/>
        </w:rPr>
      </w:pPr>
      <w:r w:rsidRPr="007F1E1F">
        <w:rPr>
          <w:sz w:val="20"/>
          <w:szCs w:val="20"/>
        </w:rPr>
        <w:t xml:space="preserve">Gustafsson-Wright, E., and </w:t>
      </w:r>
      <w:proofErr w:type="spellStart"/>
      <w:r w:rsidRPr="007F1E1F">
        <w:rPr>
          <w:sz w:val="20"/>
          <w:szCs w:val="20"/>
        </w:rPr>
        <w:t>Boggild</w:t>
      </w:r>
      <w:proofErr w:type="spellEnd"/>
      <w:r w:rsidRPr="007F1E1F">
        <w:rPr>
          <w:sz w:val="20"/>
          <w:szCs w:val="20"/>
        </w:rPr>
        <w:t xml:space="preserve">-Jones, I. (2019). Paying for Education Outcomes at Scale in India. Center for Universal Education at Brookings. </w:t>
      </w:r>
      <w:hyperlink r:id="rId15" w:history="1">
        <w:r w:rsidRPr="007F1E1F">
          <w:rPr>
            <w:rStyle w:val="Hyperlink"/>
            <w:sz w:val="20"/>
            <w:szCs w:val="20"/>
          </w:rPr>
          <w:t>https://www.brookings.edu/research/paying-for-education-outcomes-at-scale-in-india/</w:t>
        </w:r>
      </w:hyperlink>
    </w:p>
    <w:p w14:paraId="0181652C" w14:textId="269C4F80" w:rsidR="00C55FE0" w:rsidRPr="007F1E1F" w:rsidRDefault="00C55FE0" w:rsidP="00F95BF5">
      <w:pPr>
        <w:rPr>
          <w:rStyle w:val="Hyperlink"/>
          <w:sz w:val="20"/>
          <w:szCs w:val="20"/>
        </w:rPr>
      </w:pPr>
      <w:r w:rsidRPr="007F1E1F">
        <w:rPr>
          <w:sz w:val="20"/>
          <w:szCs w:val="20"/>
        </w:rPr>
        <w:t xml:space="preserve">Gustafsson-Wright, E., </w:t>
      </w:r>
      <w:proofErr w:type="spellStart"/>
      <w:r w:rsidRPr="007F1E1F">
        <w:rPr>
          <w:sz w:val="20"/>
          <w:szCs w:val="20"/>
        </w:rPr>
        <w:t>Boggild</w:t>
      </w:r>
      <w:proofErr w:type="spellEnd"/>
      <w:r w:rsidRPr="007F1E1F">
        <w:rPr>
          <w:sz w:val="20"/>
          <w:szCs w:val="20"/>
        </w:rPr>
        <w:t xml:space="preserve">-Jones, I., </w:t>
      </w:r>
      <w:proofErr w:type="spellStart"/>
      <w:r w:rsidRPr="007F1E1F">
        <w:rPr>
          <w:sz w:val="20"/>
          <w:szCs w:val="20"/>
        </w:rPr>
        <w:t>Segell</w:t>
      </w:r>
      <w:proofErr w:type="spellEnd"/>
      <w:r w:rsidRPr="007F1E1F">
        <w:rPr>
          <w:sz w:val="20"/>
          <w:szCs w:val="20"/>
        </w:rPr>
        <w:t xml:space="preserve">, D., </w:t>
      </w:r>
      <w:proofErr w:type="spellStart"/>
      <w:r w:rsidRPr="007F1E1F">
        <w:rPr>
          <w:sz w:val="20"/>
          <w:szCs w:val="20"/>
        </w:rPr>
        <w:t>Durland</w:t>
      </w:r>
      <w:proofErr w:type="spellEnd"/>
      <w:r w:rsidRPr="007F1E1F">
        <w:rPr>
          <w:sz w:val="20"/>
          <w:szCs w:val="20"/>
        </w:rPr>
        <w:t xml:space="preserve">, J. (2017). Impact Bonds in Developing Countries: Early Learnings from the Field. Center for Universal Education at Brookings and </w:t>
      </w:r>
      <w:proofErr w:type="spellStart"/>
      <w:r w:rsidRPr="007F1E1F">
        <w:rPr>
          <w:sz w:val="20"/>
          <w:szCs w:val="20"/>
        </w:rPr>
        <w:t>Covergence</w:t>
      </w:r>
      <w:proofErr w:type="spellEnd"/>
      <w:r w:rsidRPr="007F1E1F">
        <w:rPr>
          <w:sz w:val="20"/>
          <w:szCs w:val="20"/>
        </w:rPr>
        <w:t xml:space="preserve">. </w:t>
      </w:r>
      <w:hyperlink r:id="rId16" w:history="1">
        <w:r w:rsidRPr="007F1E1F">
          <w:rPr>
            <w:rStyle w:val="Hyperlink"/>
            <w:sz w:val="20"/>
            <w:szCs w:val="20"/>
          </w:rPr>
          <w:t>https://www.brookings.edu/wp-content/uploads/2017/09/impact-bonds-in-developing-countries_web.pdf</w:t>
        </w:r>
      </w:hyperlink>
    </w:p>
    <w:p w14:paraId="55A29EB7" w14:textId="08B3DACE" w:rsidR="000A3D31" w:rsidRPr="007F1E1F" w:rsidRDefault="000A3D31" w:rsidP="00F95BF5">
      <w:pPr>
        <w:rPr>
          <w:sz w:val="20"/>
          <w:szCs w:val="20"/>
        </w:rPr>
      </w:pPr>
      <w:r w:rsidRPr="007F1E1F">
        <w:rPr>
          <w:sz w:val="20"/>
          <w:szCs w:val="20"/>
        </w:rPr>
        <w:t xml:space="preserve">Gustafsson-Wright, E., Gardiner, S., and </w:t>
      </w:r>
      <w:proofErr w:type="spellStart"/>
      <w:r w:rsidRPr="007F1E1F">
        <w:rPr>
          <w:sz w:val="20"/>
          <w:szCs w:val="20"/>
        </w:rPr>
        <w:t>Putcha</w:t>
      </w:r>
      <w:proofErr w:type="spellEnd"/>
      <w:r w:rsidRPr="007F1E1F">
        <w:rPr>
          <w:sz w:val="20"/>
          <w:szCs w:val="20"/>
        </w:rPr>
        <w:t xml:space="preserve">, V. (2015). The potential and limitations of impact bonds: Lessons from the first five years of experience worldwide. The Brookings Institution. </w:t>
      </w:r>
      <w:hyperlink r:id="rId17" w:history="1">
        <w:r w:rsidRPr="007F1E1F">
          <w:rPr>
            <w:rStyle w:val="Hyperlink"/>
            <w:sz w:val="20"/>
            <w:szCs w:val="20"/>
          </w:rPr>
          <w:t>https://www.brookings.edu/wp-content/uploads/2016/07/Impact-Bondsweb.pdf</w:t>
        </w:r>
      </w:hyperlink>
    </w:p>
    <w:p w14:paraId="240E6061" w14:textId="77777777" w:rsidR="00A837B2" w:rsidRPr="007F1E1F" w:rsidRDefault="00A837B2" w:rsidP="00A837B2">
      <w:pPr>
        <w:rPr>
          <w:sz w:val="20"/>
          <w:szCs w:val="20"/>
        </w:rPr>
      </w:pPr>
      <w:r w:rsidRPr="007F1E1F">
        <w:rPr>
          <w:sz w:val="20"/>
          <w:szCs w:val="20"/>
        </w:rPr>
        <w:t xml:space="preserve">Impact Investors Council, </w:t>
      </w:r>
      <w:proofErr w:type="spellStart"/>
      <w:r w:rsidRPr="007F1E1F">
        <w:rPr>
          <w:sz w:val="20"/>
          <w:szCs w:val="20"/>
        </w:rPr>
        <w:t>Prabhav</w:t>
      </w:r>
      <w:proofErr w:type="spellEnd"/>
      <w:r w:rsidRPr="007F1E1F">
        <w:rPr>
          <w:sz w:val="20"/>
          <w:szCs w:val="20"/>
        </w:rPr>
        <w:t xml:space="preserve"> 2018 and </w:t>
      </w:r>
      <w:proofErr w:type="spellStart"/>
      <w:r w:rsidRPr="007F1E1F">
        <w:rPr>
          <w:sz w:val="20"/>
          <w:szCs w:val="20"/>
        </w:rPr>
        <w:t>Unitus</w:t>
      </w:r>
      <w:proofErr w:type="spellEnd"/>
      <w:r w:rsidRPr="007F1E1F">
        <w:rPr>
          <w:sz w:val="20"/>
          <w:szCs w:val="20"/>
        </w:rPr>
        <w:t xml:space="preserve"> Capital (n.d.). Sector Track Report: Quality Education. </w:t>
      </w:r>
      <w:hyperlink r:id="rId18" w:history="1">
        <w:r w:rsidRPr="007F1E1F">
          <w:rPr>
            <w:rStyle w:val="Hyperlink"/>
            <w:sz w:val="20"/>
            <w:szCs w:val="20"/>
          </w:rPr>
          <w:t>http://iiic.in/wp-content/uploads/2018/10/SDG-4-8-Quality-Education-Report.pdf</w:t>
        </w:r>
      </w:hyperlink>
    </w:p>
    <w:p w14:paraId="7B6EBA5E" w14:textId="77777777" w:rsidR="00A837B2" w:rsidRPr="007F1E1F" w:rsidRDefault="00A837B2" w:rsidP="00A837B2">
      <w:pPr>
        <w:rPr>
          <w:sz w:val="20"/>
          <w:szCs w:val="20"/>
        </w:rPr>
      </w:pPr>
      <w:r w:rsidRPr="007F1E1F">
        <w:rPr>
          <w:sz w:val="20"/>
          <w:szCs w:val="20"/>
        </w:rPr>
        <w:t xml:space="preserve">Innovative Finance Foundation (2013). Innovative Financing for Global Education. ESP Working Paper Series. No. 58. </w:t>
      </w:r>
      <w:hyperlink r:id="rId19" w:history="1">
        <w:r w:rsidRPr="007F1E1F">
          <w:rPr>
            <w:rStyle w:val="Hyperlink"/>
            <w:sz w:val="20"/>
            <w:szCs w:val="20"/>
          </w:rPr>
          <w:t>https://www.opensocietyfoundations.org/uploads/02f45170-5869-4ae7-ac58-5a0feb72acfa/innovative-financing-global-education-20140106_0.pdf</w:t>
        </w:r>
      </w:hyperlink>
    </w:p>
    <w:p w14:paraId="65A13B18" w14:textId="4635E172" w:rsidR="00A837B2" w:rsidRPr="007F1E1F" w:rsidRDefault="00A837B2" w:rsidP="00A837B2">
      <w:pPr>
        <w:rPr>
          <w:rStyle w:val="Hyperlink"/>
          <w:sz w:val="20"/>
          <w:szCs w:val="20"/>
        </w:rPr>
      </w:pPr>
      <w:r w:rsidRPr="007F1E1F">
        <w:rPr>
          <w:sz w:val="20"/>
          <w:szCs w:val="20"/>
        </w:rPr>
        <w:t xml:space="preserve">International Finance Corporation (2010). Education Investment Guide: A Guide for Investors in Private Education in Emerging Markets. World Bank. </w:t>
      </w:r>
      <w:hyperlink r:id="rId20" w:history="1">
        <w:r w:rsidRPr="007F1E1F">
          <w:rPr>
            <w:rStyle w:val="Hyperlink"/>
            <w:sz w:val="20"/>
            <w:szCs w:val="20"/>
          </w:rPr>
          <w:t>http://documents.worldbank.org/curated/en/261061468339872667/pdf/839980WP0IFC0B0BLIC00EduInvestGuide.pdf</w:t>
        </w:r>
      </w:hyperlink>
    </w:p>
    <w:p w14:paraId="564EF76A" w14:textId="19A2CF07" w:rsidR="00F95BF5" w:rsidRDefault="00F95BF5" w:rsidP="00F95BF5">
      <w:pPr>
        <w:rPr>
          <w:rStyle w:val="Hyperlink"/>
          <w:sz w:val="20"/>
          <w:szCs w:val="20"/>
        </w:rPr>
      </w:pPr>
      <w:r w:rsidRPr="007F1E1F">
        <w:rPr>
          <w:sz w:val="20"/>
          <w:szCs w:val="20"/>
        </w:rPr>
        <w:t xml:space="preserve">Kaizen (n.d.). Understanding the Sector. Kaizen Education (KE) Report. South Asia. Update 2.1. </w:t>
      </w:r>
      <w:hyperlink r:id="rId21" w:history="1">
        <w:r w:rsidRPr="007F1E1F">
          <w:rPr>
            <w:rStyle w:val="Hyperlink"/>
            <w:sz w:val="20"/>
            <w:szCs w:val="20"/>
          </w:rPr>
          <w:t>https://www.kaizenpe.com/</w:t>
        </w:r>
      </w:hyperlink>
    </w:p>
    <w:p w14:paraId="3F9E0832" w14:textId="77777777" w:rsidR="009955F5" w:rsidRPr="007F1E1F" w:rsidRDefault="009955F5" w:rsidP="009955F5">
      <w:pPr>
        <w:rPr>
          <w:sz w:val="20"/>
          <w:szCs w:val="20"/>
        </w:rPr>
      </w:pPr>
      <w:r w:rsidRPr="007F1E1F">
        <w:rPr>
          <w:sz w:val="20"/>
          <w:szCs w:val="20"/>
        </w:rPr>
        <w:t xml:space="preserve">Kaizen (n.d.). Understanding the Sector. Kaizen Education (KE) Report. Update 2.1. </w:t>
      </w:r>
      <w:hyperlink r:id="rId22" w:history="1">
        <w:r w:rsidRPr="007F1E1F">
          <w:rPr>
            <w:rStyle w:val="Hyperlink"/>
            <w:sz w:val="20"/>
            <w:szCs w:val="20"/>
          </w:rPr>
          <w:t>http://www.kaizenpe.com/kies2014/pdf/Kaizen-Education-Report.pdf</w:t>
        </w:r>
      </w:hyperlink>
    </w:p>
    <w:p w14:paraId="357D6C3E" w14:textId="77777777" w:rsidR="00A837B2" w:rsidRPr="007F1E1F" w:rsidRDefault="00A837B2" w:rsidP="00A837B2">
      <w:pPr>
        <w:rPr>
          <w:sz w:val="20"/>
          <w:szCs w:val="20"/>
        </w:rPr>
      </w:pPr>
      <w:proofErr w:type="spellStart"/>
      <w:r w:rsidRPr="007F1E1F">
        <w:rPr>
          <w:sz w:val="20"/>
          <w:szCs w:val="20"/>
        </w:rPr>
        <w:t>Kitzmuller</w:t>
      </w:r>
      <w:proofErr w:type="spellEnd"/>
      <w:r w:rsidRPr="007F1E1F">
        <w:rPr>
          <w:sz w:val="20"/>
          <w:szCs w:val="20"/>
        </w:rPr>
        <w:t xml:space="preserve">, L., McManus, J., Shah, N.B., and </w:t>
      </w:r>
      <w:proofErr w:type="spellStart"/>
      <w:r w:rsidRPr="007F1E1F">
        <w:rPr>
          <w:sz w:val="20"/>
          <w:szCs w:val="20"/>
        </w:rPr>
        <w:t>Sturla</w:t>
      </w:r>
      <w:proofErr w:type="spellEnd"/>
      <w:r w:rsidRPr="007F1E1F">
        <w:rPr>
          <w:sz w:val="20"/>
          <w:szCs w:val="20"/>
        </w:rPr>
        <w:t xml:space="preserve">, K. (2018). Educate Girls Development Impact Bond: Final Evaluation Report. </w:t>
      </w:r>
      <w:proofErr w:type="spellStart"/>
      <w:r w:rsidRPr="007F1E1F">
        <w:rPr>
          <w:sz w:val="20"/>
          <w:szCs w:val="20"/>
        </w:rPr>
        <w:t>IDinsight</w:t>
      </w:r>
      <w:proofErr w:type="spellEnd"/>
      <w:r w:rsidRPr="007F1E1F">
        <w:rPr>
          <w:sz w:val="20"/>
          <w:szCs w:val="20"/>
        </w:rPr>
        <w:t xml:space="preserve"> in partnership with Children’s Investment Fund Foundation, Educate Girls, </w:t>
      </w:r>
      <w:proofErr w:type="spellStart"/>
      <w:r w:rsidRPr="007F1E1F">
        <w:rPr>
          <w:sz w:val="20"/>
          <w:szCs w:val="20"/>
        </w:rPr>
        <w:t>Instiglio</w:t>
      </w:r>
      <w:proofErr w:type="spellEnd"/>
      <w:r w:rsidRPr="007F1E1F">
        <w:rPr>
          <w:sz w:val="20"/>
          <w:szCs w:val="20"/>
        </w:rPr>
        <w:t xml:space="preserve"> and </w:t>
      </w:r>
      <w:r w:rsidRPr="007F1E1F">
        <w:rPr>
          <w:sz w:val="20"/>
          <w:szCs w:val="20"/>
        </w:rPr>
        <w:lastRenderedPageBreak/>
        <w:t xml:space="preserve">UBS Optimus Foundation. </w:t>
      </w:r>
      <w:hyperlink r:id="rId23" w:history="1">
        <w:r w:rsidRPr="007F1E1F">
          <w:rPr>
            <w:rStyle w:val="Hyperlink"/>
            <w:sz w:val="20"/>
            <w:szCs w:val="20"/>
          </w:rPr>
          <w:t>https://static1.squarespace.com/static/5b7cc54eec4eb7d25f7af2be/t/5dce708f3c7fd22c0bb30f1a/1573810490043/EG_Final_reduced.pdf</w:t>
        </w:r>
      </w:hyperlink>
    </w:p>
    <w:p w14:paraId="772CE6BB" w14:textId="40EB8AD8" w:rsidR="00667605" w:rsidRDefault="00667605" w:rsidP="00100D2D">
      <w:pPr>
        <w:rPr>
          <w:rStyle w:val="Hyperlink"/>
          <w:sz w:val="20"/>
          <w:szCs w:val="20"/>
        </w:rPr>
      </w:pPr>
      <w:r w:rsidRPr="007F1E1F">
        <w:rPr>
          <w:sz w:val="20"/>
          <w:szCs w:val="20"/>
        </w:rPr>
        <w:t>Nishith Desai Associates</w:t>
      </w:r>
      <w:r w:rsidR="006506BC" w:rsidRPr="007F1E1F">
        <w:rPr>
          <w:sz w:val="20"/>
          <w:szCs w:val="20"/>
        </w:rPr>
        <w:t xml:space="preserve"> (2018). Investment in Education Sector.</w:t>
      </w:r>
      <w:r w:rsidR="00FF6657" w:rsidRPr="007F1E1F">
        <w:rPr>
          <w:sz w:val="20"/>
          <w:szCs w:val="20"/>
        </w:rPr>
        <w:t xml:space="preserve"> </w:t>
      </w:r>
      <w:hyperlink r:id="rId24" w:history="1">
        <w:r w:rsidR="00FF6657" w:rsidRPr="007F1E1F">
          <w:rPr>
            <w:rStyle w:val="Hyperlink"/>
            <w:sz w:val="20"/>
            <w:szCs w:val="20"/>
          </w:rPr>
          <w:t>http://www.nishithdesai.com/fileadmin/user_upload/pdfs/Research%20Papers/Investment_in_the_Education_Sector.pdf</w:t>
        </w:r>
      </w:hyperlink>
    </w:p>
    <w:p w14:paraId="0695C421" w14:textId="77777777" w:rsidR="009955F5" w:rsidRPr="007F1E1F" w:rsidRDefault="009955F5" w:rsidP="009955F5">
      <w:pPr>
        <w:rPr>
          <w:rStyle w:val="Hyperlink"/>
          <w:color w:val="auto"/>
          <w:sz w:val="20"/>
          <w:szCs w:val="20"/>
          <w:u w:val="none"/>
        </w:rPr>
      </w:pPr>
      <w:r w:rsidRPr="007F1E1F">
        <w:rPr>
          <w:rStyle w:val="Hyperlink"/>
          <w:color w:val="auto"/>
          <w:sz w:val="20"/>
          <w:szCs w:val="20"/>
          <w:u w:val="none"/>
        </w:rPr>
        <w:t xml:space="preserve">Nishith Desai Associates (2019). Impact Investing Simplified: A Guide to Making and Receiving Impact Investments in India. Nishith Desai Associates, Thomson Reuters Foundation and Aspen Network of Development Entrepreneurs. </w:t>
      </w:r>
      <w:hyperlink r:id="rId25" w:history="1">
        <w:r w:rsidRPr="007F1E1F">
          <w:rPr>
            <w:rStyle w:val="Hyperlink"/>
            <w:sz w:val="20"/>
            <w:szCs w:val="20"/>
          </w:rPr>
          <w:t>http://www.nishithdesai.com/fileadmin/user_upload/pdfs/Research%20Papers/IMPACT_INVESTING_SIMPLIFIED_IN_INDIA.pdf</w:t>
        </w:r>
      </w:hyperlink>
    </w:p>
    <w:p w14:paraId="466BA697" w14:textId="1E1A880D" w:rsidR="00F95BF5" w:rsidRDefault="00F95BF5" w:rsidP="00F95BF5">
      <w:pPr>
        <w:rPr>
          <w:rStyle w:val="Hyperlink"/>
          <w:sz w:val="20"/>
          <w:szCs w:val="20"/>
        </w:rPr>
      </w:pPr>
      <w:r w:rsidRPr="007F1E1F">
        <w:rPr>
          <w:sz w:val="20"/>
          <w:szCs w:val="20"/>
        </w:rPr>
        <w:t xml:space="preserve">OECD Development Cooperation Directorate (2019). Social Impact Investment 2019: The Impact Imperative for Sustainable Development. Highlights. </w:t>
      </w:r>
      <w:hyperlink r:id="rId26" w:history="1">
        <w:r w:rsidRPr="007F1E1F">
          <w:rPr>
            <w:rStyle w:val="Hyperlink"/>
            <w:sz w:val="20"/>
            <w:szCs w:val="20"/>
          </w:rPr>
          <w:t>https://www.oecd.org/development/social-impact-investment-2019-9789264311299-en.htm</w:t>
        </w:r>
      </w:hyperlink>
    </w:p>
    <w:p w14:paraId="50A5E567" w14:textId="77777777" w:rsidR="009955F5" w:rsidRPr="007F1E1F" w:rsidRDefault="009955F5" w:rsidP="009955F5">
      <w:pPr>
        <w:rPr>
          <w:rStyle w:val="Hyperlink"/>
          <w:sz w:val="20"/>
          <w:szCs w:val="20"/>
        </w:rPr>
      </w:pPr>
      <w:r w:rsidRPr="007F1E1F">
        <w:rPr>
          <w:sz w:val="20"/>
          <w:szCs w:val="20"/>
        </w:rPr>
        <w:t xml:space="preserve">Pandit, V. and Tamhane, T. (2017). Impact Investing: Purpose-driven Finance Finds its Place in India. Private Equity and Principal Investors Practice. McKinsey &amp; Company. </w:t>
      </w:r>
      <w:hyperlink r:id="rId27" w:history="1">
        <w:r w:rsidRPr="007F1E1F">
          <w:rPr>
            <w:rStyle w:val="Hyperlink"/>
            <w:sz w:val="20"/>
            <w:szCs w:val="20"/>
          </w:rPr>
          <w:t>https://thegiin.org/assets/Impact-investing-finds-its-place-in-India.pdf</w:t>
        </w:r>
      </w:hyperlink>
    </w:p>
    <w:p w14:paraId="0F95F582" w14:textId="258843A7" w:rsidR="004F7DAA" w:rsidRPr="007F1E1F" w:rsidRDefault="004F7DAA" w:rsidP="00F95BF5">
      <w:pPr>
        <w:rPr>
          <w:b/>
          <w:bCs/>
          <w:sz w:val="20"/>
          <w:szCs w:val="20"/>
        </w:rPr>
      </w:pPr>
      <w:r w:rsidRPr="007F1E1F">
        <w:rPr>
          <w:sz w:val="20"/>
          <w:szCs w:val="20"/>
        </w:rPr>
        <w:t xml:space="preserve">Ravi, S., Gustafsson-Wright, E., Sharma, P., and </w:t>
      </w:r>
      <w:proofErr w:type="spellStart"/>
      <w:r w:rsidRPr="007F1E1F">
        <w:rPr>
          <w:sz w:val="20"/>
          <w:szCs w:val="20"/>
        </w:rPr>
        <w:t>Boggild</w:t>
      </w:r>
      <w:proofErr w:type="spellEnd"/>
      <w:r w:rsidRPr="007F1E1F">
        <w:rPr>
          <w:sz w:val="20"/>
          <w:szCs w:val="20"/>
        </w:rPr>
        <w:t xml:space="preserve">-Jones, I. (2019). The Promise of Impact Investing in India. Brookings India Research Paper No. 072019. </w:t>
      </w:r>
      <w:hyperlink r:id="rId28" w:history="1">
        <w:r w:rsidRPr="007F1E1F">
          <w:rPr>
            <w:rStyle w:val="Hyperlink"/>
            <w:sz w:val="20"/>
            <w:szCs w:val="20"/>
          </w:rPr>
          <w:t>https://www.brookings.edu/wp-content/uploads/2019/07/The-promise-of-impact-investing-in-India.pdf</w:t>
        </w:r>
      </w:hyperlink>
    </w:p>
    <w:p w14:paraId="654FE45D" w14:textId="4A97AE5D" w:rsidR="00DF53B1" w:rsidRPr="007F1E1F" w:rsidRDefault="00DF53B1" w:rsidP="00100D2D">
      <w:pPr>
        <w:rPr>
          <w:rStyle w:val="Hyperlink"/>
          <w:sz w:val="20"/>
          <w:szCs w:val="20"/>
        </w:rPr>
      </w:pPr>
      <w:proofErr w:type="spellStart"/>
      <w:r w:rsidRPr="007F1E1F">
        <w:rPr>
          <w:sz w:val="20"/>
          <w:szCs w:val="20"/>
        </w:rPr>
        <w:t>Salvus</w:t>
      </w:r>
      <w:proofErr w:type="spellEnd"/>
      <w:r w:rsidRPr="007F1E1F">
        <w:rPr>
          <w:sz w:val="20"/>
          <w:szCs w:val="20"/>
        </w:rPr>
        <w:t xml:space="preserve"> Capital Advisors Pvt. Ltd. </w:t>
      </w:r>
      <w:r w:rsidR="00FB2D32" w:rsidRPr="007F1E1F">
        <w:rPr>
          <w:sz w:val="20"/>
          <w:szCs w:val="20"/>
        </w:rPr>
        <w:t>(n.d.). Investment in the Indian Education Sector</w:t>
      </w:r>
      <w:r w:rsidR="0012184C" w:rsidRPr="007F1E1F">
        <w:rPr>
          <w:sz w:val="20"/>
          <w:szCs w:val="20"/>
        </w:rPr>
        <w:t>.</w:t>
      </w:r>
      <w:r w:rsidR="00FF6657" w:rsidRPr="007F1E1F">
        <w:rPr>
          <w:sz w:val="20"/>
          <w:szCs w:val="20"/>
        </w:rPr>
        <w:t xml:space="preserve"> </w:t>
      </w:r>
      <w:hyperlink r:id="rId29" w:history="1">
        <w:r w:rsidR="00FF6657" w:rsidRPr="007F1E1F">
          <w:rPr>
            <w:rStyle w:val="Hyperlink"/>
            <w:sz w:val="20"/>
            <w:szCs w:val="20"/>
          </w:rPr>
          <w:t>http://www.juliusramos.com/salvuscapital/iies.pdf</w:t>
        </w:r>
      </w:hyperlink>
    </w:p>
    <w:p w14:paraId="4AFE9D69" w14:textId="77777777" w:rsidR="00F95BF5" w:rsidRPr="007F1E1F" w:rsidRDefault="00F95BF5" w:rsidP="00F95BF5">
      <w:pPr>
        <w:rPr>
          <w:sz w:val="20"/>
          <w:szCs w:val="20"/>
        </w:rPr>
      </w:pPr>
      <w:r w:rsidRPr="007F1E1F">
        <w:rPr>
          <w:sz w:val="20"/>
          <w:szCs w:val="20"/>
        </w:rPr>
        <w:t>Social Finance India, India Education Outcomes Fund, and GSG (2019). India Education Outcomes Fund Prospectus 2019.</w:t>
      </w:r>
    </w:p>
    <w:p w14:paraId="57DE7F8D" w14:textId="430693B4" w:rsidR="0012184C" w:rsidRPr="007F1E1F" w:rsidRDefault="0012184C" w:rsidP="00100D2D">
      <w:pPr>
        <w:rPr>
          <w:rStyle w:val="Hyperlink"/>
          <w:sz w:val="20"/>
          <w:szCs w:val="20"/>
        </w:rPr>
      </w:pPr>
      <w:r w:rsidRPr="007F1E1F">
        <w:rPr>
          <w:sz w:val="20"/>
          <w:szCs w:val="20"/>
        </w:rPr>
        <w:t>Steer, L. and Smith, K. (2015). Financing Education: Opportunities for Global Action. Centre for Universal Education at Brookings.</w:t>
      </w:r>
      <w:r w:rsidR="00FF6657" w:rsidRPr="007F1E1F">
        <w:rPr>
          <w:sz w:val="20"/>
          <w:szCs w:val="20"/>
        </w:rPr>
        <w:t xml:space="preserve"> </w:t>
      </w:r>
      <w:hyperlink r:id="rId30" w:history="1">
        <w:r w:rsidR="00FF6657" w:rsidRPr="007F1E1F">
          <w:rPr>
            <w:rStyle w:val="Hyperlink"/>
            <w:sz w:val="20"/>
            <w:szCs w:val="20"/>
          </w:rPr>
          <w:t>https://www.brookings.edu/wp-content/uploads/2016/07/FinancingForEducation2015.pdf</w:t>
        </w:r>
      </w:hyperlink>
    </w:p>
    <w:p w14:paraId="07A43139" w14:textId="77777777" w:rsidR="00F95BF5" w:rsidRPr="007F1E1F" w:rsidRDefault="00F95BF5" w:rsidP="00F95BF5">
      <w:pPr>
        <w:rPr>
          <w:sz w:val="20"/>
          <w:szCs w:val="20"/>
        </w:rPr>
      </w:pPr>
      <w:r w:rsidRPr="007F1E1F">
        <w:rPr>
          <w:sz w:val="20"/>
          <w:szCs w:val="20"/>
        </w:rPr>
        <w:t>UNESCO (</w:t>
      </w:r>
      <w:proofErr w:type="spellStart"/>
      <w:r w:rsidRPr="007F1E1F">
        <w:rPr>
          <w:sz w:val="20"/>
          <w:szCs w:val="20"/>
        </w:rPr>
        <w:t>n.d</w:t>
      </w:r>
      <w:proofErr w:type="spellEnd"/>
      <w:r w:rsidRPr="007F1E1F">
        <w:rPr>
          <w:sz w:val="20"/>
          <w:szCs w:val="20"/>
        </w:rPr>
        <w:t>). Innovative Financing For Out-of-School Children and Youth. 2</w:t>
      </w:r>
      <w:r w:rsidRPr="007F1E1F">
        <w:rPr>
          <w:sz w:val="20"/>
          <w:szCs w:val="20"/>
          <w:vertAlign w:val="superscript"/>
        </w:rPr>
        <w:t>nd</w:t>
      </w:r>
      <w:r w:rsidRPr="007F1E1F">
        <w:rPr>
          <w:sz w:val="20"/>
          <w:szCs w:val="20"/>
        </w:rPr>
        <w:t xml:space="preserve"> Edition. </w:t>
      </w:r>
      <w:hyperlink r:id="rId31" w:history="1">
        <w:r w:rsidRPr="007F1E1F">
          <w:rPr>
            <w:rStyle w:val="Hyperlink"/>
            <w:sz w:val="20"/>
            <w:szCs w:val="20"/>
          </w:rPr>
          <w:t>https://unesdoc.unesco.org/ark:/48223/pf0000260068</w:t>
        </w:r>
      </w:hyperlink>
    </w:p>
    <w:p w14:paraId="7652B6CE" w14:textId="1D6F2F97" w:rsidR="009D7DE4" w:rsidRDefault="009D7DE4" w:rsidP="00100D2D">
      <w:pPr>
        <w:rPr>
          <w:rStyle w:val="Hyperlink"/>
          <w:sz w:val="20"/>
          <w:szCs w:val="20"/>
        </w:rPr>
      </w:pPr>
      <w:r w:rsidRPr="007F1E1F">
        <w:rPr>
          <w:sz w:val="20"/>
          <w:szCs w:val="20"/>
        </w:rPr>
        <w:t xml:space="preserve">United Nations (2018). Global Indicator Framework for the Sustainable Development Goals and targets of the 2030 Agenda for Sustainable Development. </w:t>
      </w:r>
      <w:r w:rsidR="00733B75" w:rsidRPr="007F1E1F">
        <w:rPr>
          <w:sz w:val="20"/>
          <w:szCs w:val="20"/>
        </w:rPr>
        <w:t xml:space="preserve">Annex. </w:t>
      </w:r>
      <w:r w:rsidRPr="007F1E1F">
        <w:rPr>
          <w:sz w:val="20"/>
          <w:szCs w:val="20"/>
        </w:rPr>
        <w:t>A/RES/71/313. E/CN.3/2018/2.</w:t>
      </w:r>
      <w:r w:rsidR="00FF6657" w:rsidRPr="007F1E1F">
        <w:rPr>
          <w:sz w:val="20"/>
          <w:szCs w:val="20"/>
        </w:rPr>
        <w:t xml:space="preserve"> </w:t>
      </w:r>
      <w:hyperlink r:id="rId32" w:history="1">
        <w:r w:rsidR="00FF6657" w:rsidRPr="007F1E1F">
          <w:rPr>
            <w:rStyle w:val="Hyperlink"/>
            <w:sz w:val="20"/>
            <w:szCs w:val="20"/>
          </w:rPr>
          <w:t>https://unstats.un.org/sdgs/indicators/Global%20Indicator%20Framework_A.RES.71.313%20Annex.pdf</w:t>
        </w:r>
      </w:hyperlink>
    </w:p>
    <w:p w14:paraId="6A106423" w14:textId="3CBCAA22" w:rsidR="00135A6A" w:rsidRPr="007F1E1F" w:rsidRDefault="00135A6A" w:rsidP="00100D2D">
      <w:pPr>
        <w:rPr>
          <w:sz w:val="20"/>
          <w:szCs w:val="20"/>
        </w:rPr>
      </w:pPr>
      <w:r w:rsidRPr="007F1E1F">
        <w:rPr>
          <w:sz w:val="20"/>
          <w:szCs w:val="20"/>
        </w:rPr>
        <w:lastRenderedPageBreak/>
        <w:t>World Economic Forum, (2013). From the Margins to the Mainstream: Assessment of the Impact Investment Sector and Opportunities to Engage Mainstream Investors.</w:t>
      </w:r>
      <w:r w:rsidR="00D53F3A" w:rsidRPr="007F1E1F">
        <w:rPr>
          <w:sz w:val="20"/>
          <w:szCs w:val="20"/>
        </w:rPr>
        <w:t xml:space="preserve"> </w:t>
      </w:r>
      <w:hyperlink r:id="rId33" w:history="1">
        <w:r w:rsidR="00D53F3A" w:rsidRPr="007F1E1F">
          <w:rPr>
            <w:rStyle w:val="Hyperlink"/>
            <w:sz w:val="20"/>
            <w:szCs w:val="20"/>
          </w:rPr>
          <w:t>http://www3.weforum.org/docs/WEF_II_FromMarginsMainstream_Report_2013.pdf</w:t>
        </w:r>
      </w:hyperlink>
    </w:p>
    <w:p w14:paraId="4DE7FF58" w14:textId="0B62C053" w:rsidR="00100D2D" w:rsidRPr="00763970" w:rsidRDefault="00E12B96" w:rsidP="00041057">
      <w:pPr>
        <w:pStyle w:val="Heading1"/>
        <w:rPr>
          <w:u w:color="4472C4" w:themeColor="accent1"/>
        </w:rPr>
      </w:pPr>
      <w:r>
        <w:rPr>
          <w:u w:color="4472C4" w:themeColor="accent1"/>
        </w:rPr>
        <w:br w:type="page"/>
      </w:r>
      <w:r w:rsidR="00041057">
        <w:rPr>
          <w:u w:color="4472C4" w:themeColor="accent1"/>
        </w:rPr>
        <w:lastRenderedPageBreak/>
        <w:t>Exercises</w:t>
      </w:r>
    </w:p>
    <w:p w14:paraId="4D8D3317" w14:textId="1622C823" w:rsidR="00A62BA8" w:rsidRPr="007F1E1F" w:rsidRDefault="00A62BA8" w:rsidP="00100D2D">
      <w:pPr>
        <w:rPr>
          <w:sz w:val="20"/>
          <w:szCs w:val="20"/>
        </w:rPr>
      </w:pPr>
      <w:r w:rsidRPr="007F1E1F">
        <w:rPr>
          <w:sz w:val="20"/>
          <w:szCs w:val="20"/>
        </w:rPr>
        <w:t xml:space="preserve">Participants can be </w:t>
      </w:r>
      <w:r w:rsidR="00883783">
        <w:rPr>
          <w:sz w:val="20"/>
          <w:szCs w:val="20"/>
        </w:rPr>
        <w:t xml:space="preserve">engaged in the </w:t>
      </w:r>
      <w:r w:rsidRPr="007F1E1F">
        <w:rPr>
          <w:sz w:val="20"/>
          <w:szCs w:val="20"/>
        </w:rPr>
        <w:t xml:space="preserve">following </w:t>
      </w:r>
      <w:r w:rsidR="00883783">
        <w:rPr>
          <w:sz w:val="20"/>
          <w:szCs w:val="20"/>
        </w:rPr>
        <w:t>exercise</w:t>
      </w:r>
      <w:r w:rsidRPr="007F1E1F">
        <w:rPr>
          <w:sz w:val="20"/>
          <w:szCs w:val="20"/>
        </w:rPr>
        <w:t>s:</w:t>
      </w:r>
    </w:p>
    <w:p w14:paraId="394A56BE" w14:textId="6AED08B4" w:rsidR="00534896" w:rsidRPr="007F1E1F" w:rsidRDefault="00A62BA8" w:rsidP="00534896">
      <w:pPr>
        <w:rPr>
          <w:sz w:val="20"/>
          <w:szCs w:val="20"/>
        </w:rPr>
      </w:pPr>
      <w:r w:rsidRPr="007F1E1F">
        <w:rPr>
          <w:sz w:val="20"/>
          <w:szCs w:val="20"/>
        </w:rPr>
        <w:t xml:space="preserve">1. </w:t>
      </w:r>
      <w:r w:rsidR="00534896" w:rsidRPr="007F1E1F">
        <w:rPr>
          <w:sz w:val="20"/>
          <w:szCs w:val="20"/>
        </w:rPr>
        <w:t>Group discussion and peer review on Risks and Mitigation</w:t>
      </w:r>
    </w:p>
    <w:tbl>
      <w:tblPr>
        <w:tblStyle w:val="TableGrid"/>
        <w:tblW w:w="0" w:type="auto"/>
        <w:tblLook w:val="04A0" w:firstRow="1" w:lastRow="0" w:firstColumn="1" w:lastColumn="0" w:noHBand="0" w:noVBand="1"/>
      </w:tblPr>
      <w:tblGrid>
        <w:gridCol w:w="2245"/>
        <w:gridCol w:w="3929"/>
        <w:gridCol w:w="3176"/>
      </w:tblGrid>
      <w:tr w:rsidR="00534896" w:rsidRPr="007F1E1F" w14:paraId="60D5551D" w14:textId="77777777" w:rsidTr="00E12B96">
        <w:tc>
          <w:tcPr>
            <w:tcW w:w="9350" w:type="dxa"/>
            <w:gridSpan w:val="3"/>
            <w:shd w:val="clear" w:color="auto" w:fill="E7E6E6" w:themeFill="background2"/>
          </w:tcPr>
          <w:p w14:paraId="73EE97E7" w14:textId="287FB23E" w:rsidR="00534896" w:rsidRPr="007F1E1F" w:rsidRDefault="00534896" w:rsidP="00FE7EDE">
            <w:pPr>
              <w:rPr>
                <w:rFonts w:asciiTheme="minorHAnsi" w:hAnsiTheme="minorHAnsi" w:cstheme="minorHAnsi"/>
                <w:i/>
                <w:iCs/>
                <w:sz w:val="20"/>
                <w:szCs w:val="20"/>
              </w:rPr>
            </w:pPr>
            <w:r w:rsidRPr="007F1E1F">
              <w:rPr>
                <w:rFonts w:asciiTheme="minorHAnsi" w:hAnsiTheme="minorHAnsi" w:cstheme="minorHAnsi"/>
                <w:i/>
                <w:iCs/>
                <w:sz w:val="20"/>
                <w:szCs w:val="20"/>
              </w:rPr>
              <w:t>Instructions: Divide the participants into 4 groups. Give one “risk” to each group. Give them 15 minutes to discuss</w:t>
            </w:r>
            <w:r w:rsidR="00DE22EA" w:rsidRPr="007F1E1F">
              <w:rPr>
                <w:rFonts w:asciiTheme="minorHAnsi" w:hAnsiTheme="minorHAnsi" w:cstheme="minorHAnsi"/>
                <w:i/>
                <w:iCs/>
                <w:sz w:val="20"/>
                <w:szCs w:val="20"/>
              </w:rPr>
              <w:t xml:space="preserve"> the risk in terms of likelihood of occurrence and impact of the risk</w:t>
            </w:r>
            <w:r w:rsidRPr="007F1E1F">
              <w:rPr>
                <w:rFonts w:asciiTheme="minorHAnsi" w:hAnsiTheme="minorHAnsi" w:cstheme="minorHAnsi"/>
                <w:i/>
                <w:iCs/>
                <w:sz w:val="20"/>
                <w:szCs w:val="20"/>
              </w:rPr>
              <w:t>.</w:t>
            </w:r>
            <w:r w:rsidR="00DE22EA" w:rsidRPr="007F1E1F">
              <w:rPr>
                <w:rFonts w:asciiTheme="minorHAnsi" w:hAnsiTheme="minorHAnsi" w:cstheme="minorHAnsi"/>
                <w:i/>
                <w:iCs/>
                <w:sz w:val="20"/>
                <w:szCs w:val="20"/>
              </w:rPr>
              <w:t xml:space="preserve"> After the risk has been discussed, the group should discuss its proposed mitigation strategy.</w:t>
            </w:r>
            <w:r w:rsidRPr="007F1E1F">
              <w:rPr>
                <w:rFonts w:asciiTheme="minorHAnsi" w:hAnsiTheme="minorHAnsi" w:cstheme="minorHAnsi"/>
                <w:i/>
                <w:iCs/>
                <w:sz w:val="20"/>
                <w:szCs w:val="20"/>
              </w:rPr>
              <w:t xml:space="preserve"> Once all the groups have completed their individual work, they can be requested to present it for the benefit of all the participants</w:t>
            </w:r>
            <w:r w:rsidR="000942B7" w:rsidRPr="007F1E1F">
              <w:rPr>
                <w:rFonts w:asciiTheme="minorHAnsi" w:hAnsiTheme="minorHAnsi" w:cstheme="minorHAnsi"/>
                <w:i/>
                <w:iCs/>
                <w:sz w:val="20"/>
                <w:szCs w:val="20"/>
              </w:rPr>
              <w:t>. Peer reviews could be used to assign grades.</w:t>
            </w:r>
          </w:p>
          <w:p w14:paraId="234673CD" w14:textId="77777777" w:rsidR="00534896" w:rsidRPr="007F1E1F" w:rsidRDefault="00534896" w:rsidP="00FE7EDE">
            <w:pPr>
              <w:rPr>
                <w:rFonts w:asciiTheme="minorHAnsi" w:hAnsiTheme="minorHAnsi" w:cstheme="minorHAnsi"/>
                <w:sz w:val="20"/>
                <w:szCs w:val="20"/>
              </w:rPr>
            </w:pPr>
          </w:p>
        </w:tc>
      </w:tr>
      <w:tr w:rsidR="00810869" w:rsidRPr="007F1E1F" w14:paraId="64452C4A" w14:textId="77777777" w:rsidTr="00E12B96">
        <w:tc>
          <w:tcPr>
            <w:tcW w:w="2245" w:type="dxa"/>
            <w:shd w:val="clear" w:color="auto" w:fill="D0CECE" w:themeFill="background2" w:themeFillShade="E6"/>
          </w:tcPr>
          <w:p w14:paraId="732F2AF9" w14:textId="7777777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Groups</w:t>
            </w:r>
          </w:p>
        </w:tc>
        <w:tc>
          <w:tcPr>
            <w:tcW w:w="3929" w:type="dxa"/>
            <w:shd w:val="clear" w:color="auto" w:fill="D0CECE" w:themeFill="background2" w:themeFillShade="E6"/>
          </w:tcPr>
          <w:p w14:paraId="739092CE" w14:textId="774F14E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Risk</w:t>
            </w:r>
            <w:r w:rsidR="0073675C" w:rsidRPr="007F1E1F">
              <w:rPr>
                <w:rStyle w:val="FootnoteReference"/>
                <w:rFonts w:asciiTheme="minorHAnsi" w:hAnsiTheme="minorHAnsi" w:cstheme="minorHAnsi"/>
                <w:b/>
                <w:bCs/>
                <w:sz w:val="20"/>
                <w:szCs w:val="20"/>
              </w:rPr>
              <w:footnoteReference w:id="1"/>
            </w:r>
          </w:p>
        </w:tc>
        <w:tc>
          <w:tcPr>
            <w:tcW w:w="3176" w:type="dxa"/>
            <w:shd w:val="clear" w:color="auto" w:fill="D0CECE" w:themeFill="background2" w:themeFillShade="E6"/>
          </w:tcPr>
          <w:p w14:paraId="0C5CEEE3" w14:textId="4E4D837A" w:rsidR="00534896" w:rsidRPr="007F1E1F" w:rsidRDefault="00810869" w:rsidP="00FE7EDE">
            <w:pPr>
              <w:rPr>
                <w:rFonts w:asciiTheme="minorHAnsi" w:hAnsiTheme="minorHAnsi" w:cstheme="minorHAnsi"/>
                <w:b/>
                <w:bCs/>
                <w:sz w:val="20"/>
                <w:szCs w:val="20"/>
              </w:rPr>
            </w:pPr>
            <w:r w:rsidRPr="007F1E1F">
              <w:rPr>
                <w:rFonts w:asciiTheme="minorHAnsi" w:hAnsiTheme="minorHAnsi" w:cstheme="minorHAnsi"/>
                <w:b/>
                <w:bCs/>
                <w:sz w:val="20"/>
                <w:szCs w:val="20"/>
              </w:rPr>
              <w:t>If you are an intermediary like IEOF, w</w:t>
            </w:r>
            <w:r w:rsidR="00534896" w:rsidRPr="007F1E1F">
              <w:rPr>
                <w:rFonts w:asciiTheme="minorHAnsi" w:hAnsiTheme="minorHAnsi" w:cstheme="minorHAnsi"/>
                <w:b/>
                <w:bCs/>
                <w:sz w:val="20"/>
                <w:szCs w:val="20"/>
              </w:rPr>
              <w:t>hat will be your mitigation strategy?</w:t>
            </w:r>
          </w:p>
        </w:tc>
      </w:tr>
      <w:tr w:rsidR="00810869" w:rsidRPr="007F1E1F" w14:paraId="0254D163" w14:textId="77777777" w:rsidTr="00E12B96">
        <w:tc>
          <w:tcPr>
            <w:tcW w:w="2245" w:type="dxa"/>
          </w:tcPr>
          <w:p w14:paraId="4CC10B11"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 xml:space="preserve">Group 1 </w:t>
            </w:r>
          </w:p>
        </w:tc>
        <w:tc>
          <w:tcPr>
            <w:tcW w:w="3929" w:type="dxa"/>
          </w:tcPr>
          <w:p w14:paraId="24D27281" w14:textId="7777777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Service Provider</w:t>
            </w:r>
          </w:p>
          <w:p w14:paraId="387F84D9"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In order to achieve maximum outcomes at a low cost, Service Provider activity is diluted; whether through cutting costs for nonessential activities, or skewing population selection or, chasing ‘low-hanging fruit’ in outcome achievement.</w:t>
            </w:r>
          </w:p>
          <w:p w14:paraId="0F184556" w14:textId="77777777" w:rsidR="00534896" w:rsidRPr="007F1E1F" w:rsidRDefault="00534896" w:rsidP="00FE7EDE">
            <w:pPr>
              <w:rPr>
                <w:rFonts w:asciiTheme="minorHAnsi" w:hAnsiTheme="minorHAnsi" w:cstheme="minorHAnsi"/>
                <w:sz w:val="20"/>
                <w:szCs w:val="20"/>
              </w:rPr>
            </w:pPr>
          </w:p>
        </w:tc>
        <w:tc>
          <w:tcPr>
            <w:tcW w:w="3176" w:type="dxa"/>
          </w:tcPr>
          <w:p w14:paraId="3128B92D" w14:textId="77777777" w:rsidR="00534896" w:rsidRPr="007F1E1F" w:rsidRDefault="00534896" w:rsidP="00FE7EDE">
            <w:pPr>
              <w:rPr>
                <w:rFonts w:asciiTheme="minorHAnsi" w:hAnsiTheme="minorHAnsi" w:cstheme="minorHAnsi"/>
                <w:sz w:val="20"/>
                <w:szCs w:val="20"/>
              </w:rPr>
            </w:pPr>
          </w:p>
        </w:tc>
      </w:tr>
      <w:tr w:rsidR="00810869" w:rsidRPr="007F1E1F" w14:paraId="0DC2839A" w14:textId="77777777" w:rsidTr="00E12B96">
        <w:tc>
          <w:tcPr>
            <w:tcW w:w="2245" w:type="dxa"/>
          </w:tcPr>
          <w:p w14:paraId="0AF174DF"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Group 2</w:t>
            </w:r>
          </w:p>
        </w:tc>
        <w:tc>
          <w:tcPr>
            <w:tcW w:w="3929" w:type="dxa"/>
          </w:tcPr>
          <w:p w14:paraId="6C1D4170" w14:textId="7777777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Data, evaluation and monitoring</w:t>
            </w:r>
          </w:p>
          <w:p w14:paraId="39645FE3"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There may be poor baseline data available ahead of program to start with.</w:t>
            </w:r>
          </w:p>
          <w:p w14:paraId="5ABF5BE8"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There are a low number of third-party evaluators to provide credible, cost-effective evaluations at scale.</w:t>
            </w:r>
          </w:p>
          <w:p w14:paraId="7A35C851" w14:textId="77777777" w:rsidR="00534896" w:rsidRPr="007F1E1F" w:rsidRDefault="00534896" w:rsidP="00FE7EDE">
            <w:pPr>
              <w:rPr>
                <w:rFonts w:asciiTheme="minorHAnsi" w:hAnsiTheme="minorHAnsi" w:cstheme="minorHAnsi"/>
                <w:sz w:val="20"/>
                <w:szCs w:val="20"/>
              </w:rPr>
            </w:pPr>
          </w:p>
        </w:tc>
        <w:tc>
          <w:tcPr>
            <w:tcW w:w="3176" w:type="dxa"/>
          </w:tcPr>
          <w:p w14:paraId="7C52C0FC" w14:textId="77777777" w:rsidR="00534896" w:rsidRPr="007F1E1F" w:rsidRDefault="00534896" w:rsidP="00FE7EDE">
            <w:pPr>
              <w:rPr>
                <w:rFonts w:asciiTheme="minorHAnsi" w:hAnsiTheme="minorHAnsi" w:cstheme="minorHAnsi"/>
                <w:sz w:val="20"/>
                <w:szCs w:val="20"/>
              </w:rPr>
            </w:pPr>
          </w:p>
        </w:tc>
      </w:tr>
      <w:tr w:rsidR="00810869" w:rsidRPr="007F1E1F" w14:paraId="422112A2" w14:textId="77777777" w:rsidTr="00E12B96">
        <w:tc>
          <w:tcPr>
            <w:tcW w:w="2245" w:type="dxa"/>
          </w:tcPr>
          <w:p w14:paraId="7A3F6EC1"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Group 3</w:t>
            </w:r>
          </w:p>
        </w:tc>
        <w:tc>
          <w:tcPr>
            <w:tcW w:w="3929" w:type="dxa"/>
          </w:tcPr>
          <w:p w14:paraId="6E88CAB6" w14:textId="7777777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Contract Complexity</w:t>
            </w:r>
          </w:p>
          <w:p w14:paraId="10D597D7"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The complex structure of constructing, contracting and monitoring a DIB will outweigh the benefit of the structure. Funding a program through traditional contracting may appear to be more straight-forward for an Outcome Funder in terms of leadership, governance and monitoring.</w:t>
            </w:r>
          </w:p>
          <w:p w14:paraId="6D2EBFFC" w14:textId="77777777" w:rsidR="00534896" w:rsidRPr="007F1E1F" w:rsidRDefault="00534896" w:rsidP="00FE7EDE">
            <w:pPr>
              <w:rPr>
                <w:rFonts w:asciiTheme="minorHAnsi" w:hAnsiTheme="minorHAnsi" w:cstheme="minorHAnsi"/>
                <w:sz w:val="20"/>
                <w:szCs w:val="20"/>
              </w:rPr>
            </w:pPr>
          </w:p>
        </w:tc>
        <w:tc>
          <w:tcPr>
            <w:tcW w:w="3176" w:type="dxa"/>
          </w:tcPr>
          <w:p w14:paraId="35881F2F" w14:textId="77777777" w:rsidR="00534896" w:rsidRPr="007F1E1F" w:rsidRDefault="00534896" w:rsidP="00FE7EDE">
            <w:pPr>
              <w:rPr>
                <w:rFonts w:asciiTheme="minorHAnsi" w:hAnsiTheme="minorHAnsi" w:cstheme="minorHAnsi"/>
                <w:sz w:val="20"/>
                <w:szCs w:val="20"/>
              </w:rPr>
            </w:pPr>
          </w:p>
        </w:tc>
      </w:tr>
      <w:tr w:rsidR="00810869" w:rsidRPr="007F1E1F" w14:paraId="3B0AE262" w14:textId="77777777" w:rsidTr="00E12B96">
        <w:tc>
          <w:tcPr>
            <w:tcW w:w="2245" w:type="dxa"/>
          </w:tcPr>
          <w:p w14:paraId="09D4B269"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Group 4</w:t>
            </w:r>
          </w:p>
        </w:tc>
        <w:tc>
          <w:tcPr>
            <w:tcW w:w="3929" w:type="dxa"/>
          </w:tcPr>
          <w:p w14:paraId="3FCD2CA7" w14:textId="77777777" w:rsidR="00534896" w:rsidRPr="007F1E1F" w:rsidRDefault="00534896" w:rsidP="00FE7EDE">
            <w:pPr>
              <w:rPr>
                <w:rFonts w:asciiTheme="minorHAnsi" w:hAnsiTheme="minorHAnsi" w:cstheme="minorHAnsi"/>
                <w:b/>
                <w:bCs/>
                <w:sz w:val="20"/>
                <w:szCs w:val="20"/>
              </w:rPr>
            </w:pPr>
            <w:r w:rsidRPr="007F1E1F">
              <w:rPr>
                <w:rFonts w:asciiTheme="minorHAnsi" w:hAnsiTheme="minorHAnsi" w:cstheme="minorHAnsi"/>
                <w:b/>
                <w:bCs/>
                <w:sz w:val="20"/>
                <w:szCs w:val="20"/>
              </w:rPr>
              <w:t>Issues of scale</w:t>
            </w:r>
          </w:p>
          <w:p w14:paraId="3D36D996" w14:textId="77777777" w:rsidR="00534896" w:rsidRPr="007F1E1F" w:rsidRDefault="00534896" w:rsidP="00FE7EDE">
            <w:pPr>
              <w:rPr>
                <w:rFonts w:asciiTheme="minorHAnsi" w:hAnsiTheme="minorHAnsi" w:cstheme="minorHAnsi"/>
                <w:sz w:val="20"/>
                <w:szCs w:val="20"/>
              </w:rPr>
            </w:pPr>
            <w:r w:rsidRPr="007F1E1F">
              <w:rPr>
                <w:rFonts w:asciiTheme="minorHAnsi" w:hAnsiTheme="minorHAnsi" w:cstheme="minorHAnsi"/>
                <w:sz w:val="20"/>
                <w:szCs w:val="20"/>
              </w:rPr>
              <w:t xml:space="preserve">The required program scale becomes a hindrance rather than an enabler. Insufficient numbers of effective providers, the necessity to work at a large scale and the thorough </w:t>
            </w:r>
            <w:r w:rsidRPr="007F1E1F">
              <w:rPr>
                <w:rFonts w:asciiTheme="minorHAnsi" w:hAnsiTheme="minorHAnsi" w:cstheme="minorHAnsi"/>
                <w:sz w:val="20"/>
                <w:szCs w:val="20"/>
              </w:rPr>
              <w:lastRenderedPageBreak/>
              <w:t>monitoring and evaluation may deter the progress of ‘getting things done’</w:t>
            </w:r>
          </w:p>
          <w:p w14:paraId="7C461DF0" w14:textId="77777777" w:rsidR="00534896" w:rsidRPr="007F1E1F" w:rsidRDefault="00534896" w:rsidP="00FE7EDE">
            <w:pPr>
              <w:rPr>
                <w:rFonts w:asciiTheme="minorHAnsi" w:hAnsiTheme="minorHAnsi" w:cstheme="minorHAnsi"/>
                <w:sz w:val="20"/>
                <w:szCs w:val="20"/>
              </w:rPr>
            </w:pPr>
          </w:p>
        </w:tc>
        <w:tc>
          <w:tcPr>
            <w:tcW w:w="3176" w:type="dxa"/>
          </w:tcPr>
          <w:p w14:paraId="28F78736" w14:textId="77777777" w:rsidR="00534896" w:rsidRPr="007F1E1F" w:rsidRDefault="00534896" w:rsidP="00FE7EDE">
            <w:pPr>
              <w:rPr>
                <w:rFonts w:asciiTheme="minorHAnsi" w:hAnsiTheme="minorHAnsi" w:cstheme="minorHAnsi"/>
                <w:sz w:val="20"/>
                <w:szCs w:val="20"/>
              </w:rPr>
            </w:pPr>
          </w:p>
        </w:tc>
      </w:tr>
    </w:tbl>
    <w:p w14:paraId="51ECC023" w14:textId="4BC21C78" w:rsidR="00A62BA8" w:rsidRPr="007F1E1F" w:rsidRDefault="00A62BA8" w:rsidP="00100D2D">
      <w:pPr>
        <w:rPr>
          <w:sz w:val="20"/>
          <w:szCs w:val="20"/>
        </w:rPr>
      </w:pPr>
      <w:r w:rsidRPr="007F1E1F">
        <w:rPr>
          <w:sz w:val="20"/>
          <w:szCs w:val="20"/>
        </w:rPr>
        <w:t xml:space="preserve"> </w:t>
      </w:r>
    </w:p>
    <w:p w14:paraId="764EC0E6" w14:textId="75634F8E" w:rsidR="001E4E50" w:rsidRPr="007F1E1F" w:rsidRDefault="00A62BA8" w:rsidP="000D414F">
      <w:pPr>
        <w:pStyle w:val="ListParagraph"/>
        <w:ind w:left="0"/>
        <w:rPr>
          <w:sz w:val="20"/>
          <w:szCs w:val="20"/>
        </w:rPr>
      </w:pPr>
      <w:r w:rsidRPr="007F1E1F">
        <w:rPr>
          <w:sz w:val="20"/>
          <w:szCs w:val="20"/>
        </w:rPr>
        <w:t>2.</w:t>
      </w:r>
      <w:r w:rsidR="00DE22EA" w:rsidRPr="007F1E1F">
        <w:rPr>
          <w:sz w:val="20"/>
          <w:szCs w:val="20"/>
        </w:rPr>
        <w:t xml:space="preserve"> </w:t>
      </w:r>
      <w:r w:rsidR="001E4E50" w:rsidRPr="007F1E1F">
        <w:rPr>
          <w:sz w:val="20"/>
          <w:szCs w:val="20"/>
        </w:rPr>
        <w:t>Individual written assignment</w:t>
      </w:r>
      <w:r w:rsidR="00BD4F2A" w:rsidRPr="007F1E1F">
        <w:rPr>
          <w:sz w:val="20"/>
          <w:szCs w:val="20"/>
        </w:rPr>
        <w:t xml:space="preserve"> </w:t>
      </w:r>
      <w:r w:rsidR="001E4E50" w:rsidRPr="007F1E1F">
        <w:rPr>
          <w:sz w:val="20"/>
          <w:szCs w:val="20"/>
        </w:rPr>
        <w:t xml:space="preserve"> </w:t>
      </w:r>
    </w:p>
    <w:p w14:paraId="7AFB0A40" w14:textId="055EF20C" w:rsidR="000D414F" w:rsidRPr="007F1E1F" w:rsidRDefault="001E4E50" w:rsidP="000D414F">
      <w:pPr>
        <w:pStyle w:val="ListParagraph"/>
        <w:ind w:left="0"/>
        <w:rPr>
          <w:sz w:val="20"/>
          <w:szCs w:val="20"/>
        </w:rPr>
      </w:pPr>
      <w:r w:rsidRPr="007F1E1F">
        <w:rPr>
          <w:sz w:val="20"/>
          <w:szCs w:val="20"/>
        </w:rPr>
        <w:t xml:space="preserve">Topic: You are invited to participate in a working group </w:t>
      </w:r>
      <w:r w:rsidR="00016156" w:rsidRPr="007F1E1F">
        <w:rPr>
          <w:sz w:val="20"/>
          <w:szCs w:val="20"/>
        </w:rPr>
        <w:t xml:space="preserve">responsible for pricing outcomes. </w:t>
      </w:r>
      <w:r w:rsidR="000D414F" w:rsidRPr="007F1E1F">
        <w:rPr>
          <w:sz w:val="20"/>
          <w:szCs w:val="20"/>
        </w:rPr>
        <w:t xml:space="preserve">Select any two educational outcomes. What information </w:t>
      </w:r>
      <w:r w:rsidR="00AF0605" w:rsidRPr="007F1E1F">
        <w:rPr>
          <w:sz w:val="20"/>
          <w:szCs w:val="20"/>
        </w:rPr>
        <w:t>will you</w:t>
      </w:r>
      <w:r w:rsidR="00FA50BD" w:rsidRPr="007F1E1F">
        <w:rPr>
          <w:sz w:val="20"/>
          <w:szCs w:val="20"/>
        </w:rPr>
        <w:t xml:space="preserve"> need</w:t>
      </w:r>
      <w:r w:rsidR="000D414F" w:rsidRPr="007F1E1F">
        <w:rPr>
          <w:sz w:val="20"/>
          <w:szCs w:val="20"/>
        </w:rPr>
        <w:t xml:space="preserve"> to determine </w:t>
      </w:r>
      <w:r w:rsidR="00FA50BD" w:rsidRPr="007F1E1F">
        <w:rPr>
          <w:sz w:val="20"/>
          <w:szCs w:val="20"/>
        </w:rPr>
        <w:t xml:space="preserve">the </w:t>
      </w:r>
      <w:r w:rsidR="000D414F" w:rsidRPr="007F1E1F">
        <w:rPr>
          <w:sz w:val="20"/>
          <w:szCs w:val="20"/>
        </w:rPr>
        <w:t xml:space="preserve">price for the two outcomes? </w:t>
      </w:r>
      <w:r w:rsidR="00FA50BD" w:rsidRPr="007F1E1F">
        <w:rPr>
          <w:sz w:val="20"/>
          <w:szCs w:val="20"/>
        </w:rPr>
        <w:t xml:space="preserve">What considerations would affect the process? </w:t>
      </w:r>
      <w:r w:rsidR="000D414F" w:rsidRPr="007F1E1F">
        <w:rPr>
          <w:sz w:val="20"/>
          <w:szCs w:val="20"/>
        </w:rPr>
        <w:t xml:space="preserve">What methodology will you use to </w:t>
      </w:r>
      <w:r w:rsidR="00AF0605" w:rsidRPr="007F1E1F">
        <w:rPr>
          <w:sz w:val="20"/>
          <w:szCs w:val="20"/>
        </w:rPr>
        <w:t>fix a price</w:t>
      </w:r>
      <w:r w:rsidR="00FA50BD" w:rsidRPr="007F1E1F">
        <w:rPr>
          <w:sz w:val="20"/>
          <w:szCs w:val="20"/>
        </w:rPr>
        <w:t xml:space="preserve">? </w:t>
      </w:r>
      <w:r w:rsidR="00BD4F2A" w:rsidRPr="007F1E1F">
        <w:rPr>
          <w:sz w:val="20"/>
          <w:szCs w:val="20"/>
        </w:rPr>
        <w:t>Explain your choices and challenges.</w:t>
      </w:r>
      <w:r w:rsidR="00077F27">
        <w:rPr>
          <w:sz w:val="20"/>
          <w:szCs w:val="20"/>
        </w:rPr>
        <w:t xml:space="preserve"> This can also be conducted as a role play during the session.</w:t>
      </w:r>
    </w:p>
    <w:p w14:paraId="0D9B2A15" w14:textId="0BC52AB2" w:rsidR="00A62BA8" w:rsidRPr="007F1E1F" w:rsidRDefault="00A62BA8" w:rsidP="00100D2D">
      <w:pPr>
        <w:rPr>
          <w:sz w:val="20"/>
          <w:szCs w:val="20"/>
        </w:rPr>
      </w:pPr>
    </w:p>
    <w:p w14:paraId="35029B7E" w14:textId="764E9AE2" w:rsidR="00704174" w:rsidRDefault="00704174" w:rsidP="00100D2D"/>
    <w:p w14:paraId="14866403" w14:textId="02B77CF8" w:rsidR="00A62BA8" w:rsidRDefault="00A62BA8" w:rsidP="00100D2D"/>
    <w:p w14:paraId="5441DA35" w14:textId="77777777" w:rsidR="00A62BA8" w:rsidRDefault="00A62BA8" w:rsidP="00100D2D"/>
    <w:p w14:paraId="7836BF94" w14:textId="77777777" w:rsidR="00100D2D" w:rsidRDefault="00100D2D" w:rsidP="00100D2D"/>
    <w:p w14:paraId="6877AD66" w14:textId="6FF28F82" w:rsidR="00100D2D" w:rsidRDefault="00100D2D" w:rsidP="00100D2D"/>
    <w:p w14:paraId="22ED5D9E" w14:textId="64F71434" w:rsidR="0098012C" w:rsidRDefault="0098012C" w:rsidP="00B803CA">
      <w:pPr>
        <w:jc w:val="center"/>
      </w:pPr>
    </w:p>
    <w:p w14:paraId="6DF3A248" w14:textId="6341C87B" w:rsidR="0098012C" w:rsidRDefault="0098012C" w:rsidP="00B803CA">
      <w:pPr>
        <w:jc w:val="center"/>
      </w:pPr>
    </w:p>
    <w:p w14:paraId="09718843" w14:textId="63852630" w:rsidR="0098012C" w:rsidRDefault="0098012C" w:rsidP="00B803CA">
      <w:pPr>
        <w:jc w:val="center"/>
      </w:pPr>
    </w:p>
    <w:p w14:paraId="0616F3F4" w14:textId="77777777" w:rsidR="0098012C" w:rsidRDefault="0098012C" w:rsidP="00B803CA">
      <w:pPr>
        <w:jc w:val="center"/>
      </w:pPr>
    </w:p>
    <w:p w14:paraId="2E14B6E3" w14:textId="6BB8E96B" w:rsidR="00B803CA" w:rsidRDefault="00B803CA"/>
    <w:p w14:paraId="2FDFAE99" w14:textId="77777777" w:rsidR="00B803CA" w:rsidRDefault="00B803CA"/>
    <w:sectPr w:rsidR="00B803CA">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4EBDC" w14:textId="77777777" w:rsidR="00D81BA0" w:rsidRDefault="00D81BA0" w:rsidP="00DC4F5B">
      <w:pPr>
        <w:spacing w:after="0" w:line="240" w:lineRule="auto"/>
      </w:pPr>
      <w:r>
        <w:separator/>
      </w:r>
    </w:p>
  </w:endnote>
  <w:endnote w:type="continuationSeparator" w:id="0">
    <w:p w14:paraId="1FDFBDD2" w14:textId="77777777" w:rsidR="00D81BA0" w:rsidRDefault="00D81BA0" w:rsidP="00DC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C4F5B" w14:paraId="396E13D4" w14:textId="77777777">
      <w:trPr>
        <w:trHeight w:hRule="exact" w:val="115"/>
        <w:jc w:val="center"/>
      </w:trPr>
      <w:tc>
        <w:tcPr>
          <w:tcW w:w="4686" w:type="dxa"/>
          <w:shd w:val="clear" w:color="auto" w:fill="4472C4" w:themeFill="accent1"/>
          <w:tcMar>
            <w:top w:w="0" w:type="dxa"/>
            <w:bottom w:w="0" w:type="dxa"/>
          </w:tcMar>
        </w:tcPr>
        <w:p w14:paraId="00D0B5A2" w14:textId="77777777" w:rsidR="00DC4F5B" w:rsidRDefault="00DC4F5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1D4BD46" w14:textId="77777777" w:rsidR="00DC4F5B" w:rsidRDefault="00DC4F5B">
          <w:pPr>
            <w:pStyle w:val="Header"/>
            <w:tabs>
              <w:tab w:val="clear" w:pos="4680"/>
              <w:tab w:val="clear" w:pos="9360"/>
            </w:tabs>
            <w:jc w:val="right"/>
            <w:rPr>
              <w:caps/>
              <w:sz w:val="18"/>
            </w:rPr>
          </w:pPr>
        </w:p>
      </w:tc>
    </w:tr>
    <w:tr w:rsidR="00DC4F5B" w14:paraId="1F4B3325" w14:textId="77777777">
      <w:trPr>
        <w:jc w:val="center"/>
      </w:trPr>
      <w:tc>
        <w:tcPr>
          <w:tcW w:w="4686" w:type="dxa"/>
          <w:shd w:val="clear" w:color="auto" w:fill="auto"/>
          <w:vAlign w:val="center"/>
        </w:tcPr>
        <w:p w14:paraId="4EFB7273" w14:textId="6FA2BCC9" w:rsidR="00DC4F5B" w:rsidRDefault="001C215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w:t>
          </w:r>
          <w:r w:rsidR="00084F5B">
            <w:rPr>
              <w:caps/>
              <w:color w:val="808080" w:themeColor="background1" w:themeShade="80"/>
              <w:sz w:val="18"/>
              <w:szCs w:val="18"/>
            </w:rPr>
            <w:t>8</w:t>
          </w:r>
          <w:r>
            <w:rPr>
              <w:caps/>
              <w:color w:val="808080" w:themeColor="background1" w:themeShade="80"/>
              <w:sz w:val="18"/>
              <w:szCs w:val="18"/>
            </w:rPr>
            <w:t xml:space="preserve"> </w:t>
          </w:r>
          <w:r w:rsidR="00084F5B">
            <w:rPr>
              <w:caps/>
              <w:color w:val="808080" w:themeColor="background1" w:themeShade="80"/>
              <w:sz w:val="18"/>
              <w:szCs w:val="18"/>
            </w:rPr>
            <w:t>APRIL</w:t>
          </w:r>
          <w:r w:rsidR="00DC4F5B">
            <w:rPr>
              <w:caps/>
              <w:color w:val="808080" w:themeColor="background1" w:themeShade="80"/>
              <w:sz w:val="18"/>
              <w:szCs w:val="18"/>
            </w:rPr>
            <w:t xml:space="preserve"> 20</w:t>
          </w:r>
          <w:r w:rsidR="00801C9D">
            <w:rPr>
              <w:caps/>
              <w:color w:val="808080" w:themeColor="background1" w:themeShade="80"/>
              <w:sz w:val="18"/>
              <w:szCs w:val="18"/>
            </w:rPr>
            <w:t>20</w:t>
          </w:r>
        </w:p>
      </w:tc>
      <w:tc>
        <w:tcPr>
          <w:tcW w:w="4674" w:type="dxa"/>
          <w:shd w:val="clear" w:color="auto" w:fill="auto"/>
          <w:vAlign w:val="center"/>
        </w:tcPr>
        <w:p w14:paraId="1F6275BA" w14:textId="2CE82EFB" w:rsidR="00DC4F5B" w:rsidRDefault="00DC4F5B">
          <w:pPr>
            <w:pStyle w:val="Footer"/>
            <w:tabs>
              <w:tab w:val="clear" w:pos="4680"/>
              <w:tab w:val="clear" w:pos="9360"/>
            </w:tabs>
            <w:jc w:val="right"/>
            <w:rPr>
              <w:caps/>
              <w:color w:val="808080" w:themeColor="background1" w:themeShade="80"/>
              <w:sz w:val="18"/>
              <w:szCs w:val="18"/>
            </w:rPr>
          </w:pPr>
        </w:p>
      </w:tc>
    </w:tr>
  </w:tbl>
  <w:p w14:paraId="27DD0502" w14:textId="77777777" w:rsidR="00DC4F5B" w:rsidRDefault="00DC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6D9D5" w14:textId="77777777" w:rsidR="00D81BA0" w:rsidRDefault="00D81BA0" w:rsidP="00DC4F5B">
      <w:pPr>
        <w:spacing w:after="0" w:line="240" w:lineRule="auto"/>
      </w:pPr>
      <w:r>
        <w:separator/>
      </w:r>
    </w:p>
  </w:footnote>
  <w:footnote w:type="continuationSeparator" w:id="0">
    <w:p w14:paraId="105FB5EE" w14:textId="77777777" w:rsidR="00D81BA0" w:rsidRDefault="00D81BA0" w:rsidP="00DC4F5B">
      <w:pPr>
        <w:spacing w:after="0" w:line="240" w:lineRule="auto"/>
      </w:pPr>
      <w:r>
        <w:continuationSeparator/>
      </w:r>
    </w:p>
  </w:footnote>
  <w:footnote w:id="1">
    <w:p w14:paraId="2FE1DC94" w14:textId="2DBBF897" w:rsidR="0073675C" w:rsidRDefault="0073675C">
      <w:pPr>
        <w:pStyle w:val="FootnoteText"/>
      </w:pPr>
      <w:r>
        <w:rPr>
          <w:rStyle w:val="FootnoteReference"/>
        </w:rPr>
        <w:footnoteRef/>
      </w:r>
      <w:r>
        <w:t xml:space="preserve"> Based on risks identified in Social Finance India, India Education Outcomes Fund, and GSG (2019). India Education Outcomes Fund Prospectus 2019. (p. 99-101).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1265" w14:textId="7D5E0BEC" w:rsidR="00DC4F5B" w:rsidRDefault="00DC4F5B">
    <w:pPr>
      <w:pStyle w:val="Header"/>
    </w:pPr>
    <w:r>
      <w:rPr>
        <w:noProof/>
      </w:rPr>
      <mc:AlternateContent>
        <mc:Choice Requires="wps">
          <w:drawing>
            <wp:anchor distT="228600" distB="228600" distL="114300" distR="114300" simplePos="0" relativeHeight="251659264" behindDoc="0" locked="0" layoutInCell="1" allowOverlap="0" wp14:anchorId="1BFC5A77" wp14:editId="3B27594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6828E" w14:textId="77777777" w:rsidR="00DC4F5B" w:rsidRDefault="00DC4F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0</w:t>
                          </w:r>
                          <w:r>
                            <w:rPr>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BFC5A77" id="Rectangle 133" o:spid="_x0000_s1026" style="position:absolute;margin-left:-4.4pt;margin-top:0;width:46.8pt;height:77.75pt;z-index:251659264;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" o:allowoverlap="f" fillcolor="#4472c4 [3204]" stroked="f" strokeweight="1pt">
              <o:lock v:ext="edit" aspectratio="t"/>
              <v:textbox>
                <w:txbxContent>
                  <w:p w14:paraId="6FB6828E" w14:textId="77777777" w:rsidR="00DC4F5B" w:rsidRDefault="00DC4F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0</w:t>
                    </w:r>
                    <w:r>
                      <w:rPr>
                        <w:noProof/>
                        <w:color w:val="FFFFFF" w:themeColor="background1"/>
                        <w:sz w:val="24"/>
                        <w:szCs w:val="24"/>
                      </w:rPr>
                      <w:fldChar w:fldCharType="end"/>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42D"/>
    <w:multiLevelType w:val="hybridMultilevel"/>
    <w:tmpl w:val="D5E4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3747A"/>
    <w:multiLevelType w:val="hybridMultilevel"/>
    <w:tmpl w:val="D5E4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843D2"/>
    <w:multiLevelType w:val="hybridMultilevel"/>
    <w:tmpl w:val="186A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D2050"/>
    <w:multiLevelType w:val="hybridMultilevel"/>
    <w:tmpl w:val="90D600BA"/>
    <w:lvl w:ilvl="0" w:tplc="5EB24A96">
      <w:start w:val="1"/>
      <w:numFmt w:val="bullet"/>
      <w:lvlText w:val="□"/>
      <w:lvlJc w:val="left"/>
      <w:pPr>
        <w:ind w:left="720" w:hanging="360"/>
      </w:pPr>
      <w:rPr>
        <w:rFonts w:ascii="Courier New" w:hAnsi="Courier New"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8B"/>
    <w:rsid w:val="00010819"/>
    <w:rsid w:val="00016156"/>
    <w:rsid w:val="0002763C"/>
    <w:rsid w:val="00040C1C"/>
    <w:rsid w:val="00041057"/>
    <w:rsid w:val="0006432D"/>
    <w:rsid w:val="00077F27"/>
    <w:rsid w:val="00084F5B"/>
    <w:rsid w:val="00086F98"/>
    <w:rsid w:val="000942B7"/>
    <w:rsid w:val="000A3D31"/>
    <w:rsid w:val="000D414F"/>
    <w:rsid w:val="00100D2D"/>
    <w:rsid w:val="001014FC"/>
    <w:rsid w:val="00107A32"/>
    <w:rsid w:val="001114F3"/>
    <w:rsid w:val="001208BE"/>
    <w:rsid w:val="0012184C"/>
    <w:rsid w:val="00135A6A"/>
    <w:rsid w:val="00143C2D"/>
    <w:rsid w:val="00177977"/>
    <w:rsid w:val="001A2C0F"/>
    <w:rsid w:val="001A73AF"/>
    <w:rsid w:val="001C215D"/>
    <w:rsid w:val="001E4E50"/>
    <w:rsid w:val="002404E4"/>
    <w:rsid w:val="0024084C"/>
    <w:rsid w:val="002503F9"/>
    <w:rsid w:val="0026553F"/>
    <w:rsid w:val="00284D81"/>
    <w:rsid w:val="002A55B3"/>
    <w:rsid w:val="002C29E8"/>
    <w:rsid w:val="002E0DB2"/>
    <w:rsid w:val="00324623"/>
    <w:rsid w:val="00345BDD"/>
    <w:rsid w:val="00365F21"/>
    <w:rsid w:val="00377B87"/>
    <w:rsid w:val="003A2D05"/>
    <w:rsid w:val="003C6BB3"/>
    <w:rsid w:val="00461E8E"/>
    <w:rsid w:val="00465DCC"/>
    <w:rsid w:val="0048068F"/>
    <w:rsid w:val="004949C0"/>
    <w:rsid w:val="004F7DAA"/>
    <w:rsid w:val="00507976"/>
    <w:rsid w:val="00534896"/>
    <w:rsid w:val="0054152E"/>
    <w:rsid w:val="0054650C"/>
    <w:rsid w:val="005963FF"/>
    <w:rsid w:val="005A1BAF"/>
    <w:rsid w:val="005C4C0A"/>
    <w:rsid w:val="005F48AF"/>
    <w:rsid w:val="006038EA"/>
    <w:rsid w:val="00626BF4"/>
    <w:rsid w:val="00627717"/>
    <w:rsid w:val="006373F2"/>
    <w:rsid w:val="006506BC"/>
    <w:rsid w:val="00651C0A"/>
    <w:rsid w:val="00667605"/>
    <w:rsid w:val="006858B6"/>
    <w:rsid w:val="006C5402"/>
    <w:rsid w:val="00703170"/>
    <w:rsid w:val="00704174"/>
    <w:rsid w:val="00711911"/>
    <w:rsid w:val="00733B75"/>
    <w:rsid w:val="0073675C"/>
    <w:rsid w:val="00763970"/>
    <w:rsid w:val="00777463"/>
    <w:rsid w:val="0079188B"/>
    <w:rsid w:val="007A6DE8"/>
    <w:rsid w:val="007E076E"/>
    <w:rsid w:val="007E6C0B"/>
    <w:rsid w:val="007F1E1F"/>
    <w:rsid w:val="00801C9D"/>
    <w:rsid w:val="00810869"/>
    <w:rsid w:val="00835826"/>
    <w:rsid w:val="008443FF"/>
    <w:rsid w:val="00846145"/>
    <w:rsid w:val="00883783"/>
    <w:rsid w:val="00890F6C"/>
    <w:rsid w:val="008C2B09"/>
    <w:rsid w:val="008C58B8"/>
    <w:rsid w:val="00907CBA"/>
    <w:rsid w:val="00966E67"/>
    <w:rsid w:val="0098012C"/>
    <w:rsid w:val="009955F5"/>
    <w:rsid w:val="009C7947"/>
    <w:rsid w:val="009D7DE4"/>
    <w:rsid w:val="009E14E7"/>
    <w:rsid w:val="009F5C6C"/>
    <w:rsid w:val="00A20ADC"/>
    <w:rsid w:val="00A34A02"/>
    <w:rsid w:val="00A37C08"/>
    <w:rsid w:val="00A5661A"/>
    <w:rsid w:val="00A62BA8"/>
    <w:rsid w:val="00A837B2"/>
    <w:rsid w:val="00A9678B"/>
    <w:rsid w:val="00AB35BB"/>
    <w:rsid w:val="00AC0FD2"/>
    <w:rsid w:val="00AE69B8"/>
    <w:rsid w:val="00AF0605"/>
    <w:rsid w:val="00AF2193"/>
    <w:rsid w:val="00B30FF8"/>
    <w:rsid w:val="00B40EE1"/>
    <w:rsid w:val="00B803CA"/>
    <w:rsid w:val="00B81276"/>
    <w:rsid w:val="00B93D71"/>
    <w:rsid w:val="00B94F37"/>
    <w:rsid w:val="00BA0436"/>
    <w:rsid w:val="00BD4F2A"/>
    <w:rsid w:val="00C03214"/>
    <w:rsid w:val="00C512E3"/>
    <w:rsid w:val="00C55FE0"/>
    <w:rsid w:val="00C60F69"/>
    <w:rsid w:val="00CB727C"/>
    <w:rsid w:val="00D12DF7"/>
    <w:rsid w:val="00D404A2"/>
    <w:rsid w:val="00D53F3A"/>
    <w:rsid w:val="00D765CA"/>
    <w:rsid w:val="00D81BA0"/>
    <w:rsid w:val="00D92EB7"/>
    <w:rsid w:val="00DA3375"/>
    <w:rsid w:val="00DA51D3"/>
    <w:rsid w:val="00DB4B9A"/>
    <w:rsid w:val="00DC4F5B"/>
    <w:rsid w:val="00DD5DFF"/>
    <w:rsid w:val="00DE22EA"/>
    <w:rsid w:val="00DF53B1"/>
    <w:rsid w:val="00E0309F"/>
    <w:rsid w:val="00E12B96"/>
    <w:rsid w:val="00E7309F"/>
    <w:rsid w:val="00E74675"/>
    <w:rsid w:val="00E94018"/>
    <w:rsid w:val="00EA7C30"/>
    <w:rsid w:val="00EF1E3C"/>
    <w:rsid w:val="00F22011"/>
    <w:rsid w:val="00F5171B"/>
    <w:rsid w:val="00F803D1"/>
    <w:rsid w:val="00F95BF5"/>
    <w:rsid w:val="00FA50BD"/>
    <w:rsid w:val="00FB2D32"/>
    <w:rsid w:val="00FB5260"/>
    <w:rsid w:val="00FC5F64"/>
    <w:rsid w:val="00FE026A"/>
    <w:rsid w:val="00FF62C5"/>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00AAC"/>
  <w15:chartTrackingRefBased/>
  <w15:docId w15:val="{D0C2EABA-1875-4C7F-8F0A-FF57FDE5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D1"/>
  </w:style>
  <w:style w:type="paragraph" w:styleId="Heading1">
    <w:name w:val="heading 1"/>
    <w:basedOn w:val="Normal"/>
    <w:next w:val="Normal"/>
    <w:link w:val="Heading1Char"/>
    <w:uiPriority w:val="9"/>
    <w:qFormat/>
    <w:rsid w:val="00F803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803D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803D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803D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803D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803D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803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03D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803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F5B"/>
  </w:style>
  <w:style w:type="paragraph" w:styleId="Footer">
    <w:name w:val="footer"/>
    <w:basedOn w:val="Normal"/>
    <w:link w:val="FooterChar"/>
    <w:uiPriority w:val="99"/>
    <w:unhideWhenUsed/>
    <w:rsid w:val="00DC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F5B"/>
  </w:style>
  <w:style w:type="character" w:customStyle="1" w:styleId="Heading1Char">
    <w:name w:val="Heading 1 Char"/>
    <w:basedOn w:val="DefaultParagraphFont"/>
    <w:link w:val="Heading1"/>
    <w:uiPriority w:val="9"/>
    <w:rsid w:val="00F803D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803D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803D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803D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803D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803D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803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03D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803D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803D1"/>
    <w:pPr>
      <w:spacing w:line="240" w:lineRule="auto"/>
    </w:pPr>
    <w:rPr>
      <w:b/>
      <w:bCs/>
      <w:color w:val="4472C4" w:themeColor="accent1"/>
      <w:sz w:val="18"/>
      <w:szCs w:val="18"/>
    </w:rPr>
  </w:style>
  <w:style w:type="paragraph" w:styleId="Title">
    <w:name w:val="Title"/>
    <w:basedOn w:val="Normal"/>
    <w:next w:val="Normal"/>
    <w:link w:val="TitleChar"/>
    <w:uiPriority w:val="10"/>
    <w:qFormat/>
    <w:rsid w:val="00F803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803D1"/>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803D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803D1"/>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803D1"/>
    <w:rPr>
      <w:b/>
      <w:bCs/>
    </w:rPr>
  </w:style>
  <w:style w:type="character" w:styleId="Emphasis">
    <w:name w:val="Emphasis"/>
    <w:basedOn w:val="DefaultParagraphFont"/>
    <w:uiPriority w:val="20"/>
    <w:qFormat/>
    <w:rsid w:val="00F803D1"/>
    <w:rPr>
      <w:i/>
      <w:iCs/>
    </w:rPr>
  </w:style>
  <w:style w:type="paragraph" w:styleId="NoSpacing">
    <w:name w:val="No Spacing"/>
    <w:uiPriority w:val="1"/>
    <w:qFormat/>
    <w:rsid w:val="00F803D1"/>
    <w:pPr>
      <w:spacing w:after="0" w:line="240" w:lineRule="auto"/>
    </w:pPr>
  </w:style>
  <w:style w:type="paragraph" w:styleId="Quote">
    <w:name w:val="Quote"/>
    <w:basedOn w:val="Normal"/>
    <w:next w:val="Normal"/>
    <w:link w:val="QuoteChar"/>
    <w:uiPriority w:val="29"/>
    <w:qFormat/>
    <w:rsid w:val="00F803D1"/>
    <w:rPr>
      <w:i/>
      <w:iCs/>
      <w:color w:val="000000" w:themeColor="text1"/>
    </w:rPr>
  </w:style>
  <w:style w:type="character" w:customStyle="1" w:styleId="QuoteChar">
    <w:name w:val="Quote Char"/>
    <w:basedOn w:val="DefaultParagraphFont"/>
    <w:link w:val="Quote"/>
    <w:uiPriority w:val="29"/>
    <w:rsid w:val="00F803D1"/>
    <w:rPr>
      <w:i/>
      <w:iCs/>
      <w:color w:val="000000" w:themeColor="text1"/>
    </w:rPr>
  </w:style>
  <w:style w:type="paragraph" w:styleId="IntenseQuote">
    <w:name w:val="Intense Quote"/>
    <w:basedOn w:val="Normal"/>
    <w:next w:val="Normal"/>
    <w:link w:val="IntenseQuoteChar"/>
    <w:uiPriority w:val="30"/>
    <w:qFormat/>
    <w:rsid w:val="00F803D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803D1"/>
    <w:rPr>
      <w:b/>
      <w:bCs/>
      <w:i/>
      <w:iCs/>
      <w:color w:val="4472C4" w:themeColor="accent1"/>
    </w:rPr>
  </w:style>
  <w:style w:type="character" w:styleId="SubtleEmphasis">
    <w:name w:val="Subtle Emphasis"/>
    <w:basedOn w:val="DefaultParagraphFont"/>
    <w:uiPriority w:val="19"/>
    <w:qFormat/>
    <w:rsid w:val="00F803D1"/>
    <w:rPr>
      <w:i/>
      <w:iCs/>
      <w:color w:val="808080" w:themeColor="text1" w:themeTint="7F"/>
    </w:rPr>
  </w:style>
  <w:style w:type="character" w:styleId="IntenseEmphasis">
    <w:name w:val="Intense Emphasis"/>
    <w:basedOn w:val="DefaultParagraphFont"/>
    <w:uiPriority w:val="21"/>
    <w:qFormat/>
    <w:rsid w:val="00F803D1"/>
    <w:rPr>
      <w:b/>
      <w:bCs/>
      <w:i/>
      <w:iCs/>
      <w:color w:val="4472C4" w:themeColor="accent1"/>
    </w:rPr>
  </w:style>
  <w:style w:type="character" w:styleId="SubtleReference">
    <w:name w:val="Subtle Reference"/>
    <w:basedOn w:val="DefaultParagraphFont"/>
    <w:uiPriority w:val="31"/>
    <w:qFormat/>
    <w:rsid w:val="00F803D1"/>
    <w:rPr>
      <w:smallCaps/>
      <w:color w:val="ED7D31" w:themeColor="accent2"/>
      <w:u w:val="single"/>
    </w:rPr>
  </w:style>
  <w:style w:type="character" w:styleId="IntenseReference">
    <w:name w:val="Intense Reference"/>
    <w:basedOn w:val="DefaultParagraphFont"/>
    <w:uiPriority w:val="32"/>
    <w:qFormat/>
    <w:rsid w:val="00F803D1"/>
    <w:rPr>
      <w:b/>
      <w:bCs/>
      <w:smallCaps/>
      <w:color w:val="ED7D31" w:themeColor="accent2"/>
      <w:spacing w:val="5"/>
      <w:u w:val="single"/>
    </w:rPr>
  </w:style>
  <w:style w:type="character" w:styleId="BookTitle">
    <w:name w:val="Book Title"/>
    <w:basedOn w:val="DefaultParagraphFont"/>
    <w:uiPriority w:val="33"/>
    <w:qFormat/>
    <w:rsid w:val="00F803D1"/>
    <w:rPr>
      <w:b/>
      <w:bCs/>
      <w:smallCaps/>
      <w:spacing w:val="5"/>
    </w:rPr>
  </w:style>
  <w:style w:type="paragraph" w:styleId="TOCHeading">
    <w:name w:val="TOC Heading"/>
    <w:basedOn w:val="Heading1"/>
    <w:next w:val="Normal"/>
    <w:uiPriority w:val="39"/>
    <w:semiHidden/>
    <w:unhideWhenUsed/>
    <w:qFormat/>
    <w:rsid w:val="00F803D1"/>
    <w:pPr>
      <w:outlineLvl w:val="9"/>
    </w:pPr>
  </w:style>
  <w:style w:type="paragraph" w:styleId="ListParagraph">
    <w:name w:val="List Paragraph"/>
    <w:basedOn w:val="Normal"/>
    <w:uiPriority w:val="34"/>
    <w:qFormat/>
    <w:rsid w:val="00F803D1"/>
    <w:pPr>
      <w:ind w:left="720"/>
      <w:contextualSpacing/>
    </w:pPr>
  </w:style>
  <w:style w:type="character" w:styleId="Hyperlink">
    <w:name w:val="Hyperlink"/>
    <w:basedOn w:val="DefaultParagraphFont"/>
    <w:uiPriority w:val="99"/>
    <w:semiHidden/>
    <w:unhideWhenUsed/>
    <w:rsid w:val="00FF6657"/>
    <w:rPr>
      <w:color w:val="0000FF"/>
      <w:u w:val="single"/>
    </w:rPr>
  </w:style>
  <w:style w:type="table" w:styleId="TableGrid">
    <w:name w:val="Table Grid"/>
    <w:basedOn w:val="TableNormal"/>
    <w:uiPriority w:val="39"/>
    <w:rsid w:val="00534896"/>
    <w:pPr>
      <w:spacing w:after="0" w:line="240" w:lineRule="auto"/>
    </w:pPr>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6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75C"/>
    <w:rPr>
      <w:sz w:val="20"/>
      <w:szCs w:val="20"/>
    </w:rPr>
  </w:style>
  <w:style w:type="character" w:styleId="FootnoteReference">
    <w:name w:val="footnote reference"/>
    <w:basedOn w:val="DefaultParagraphFont"/>
    <w:uiPriority w:val="99"/>
    <w:semiHidden/>
    <w:unhideWhenUsed/>
    <w:rsid w:val="0073675C"/>
    <w:rPr>
      <w:vertAlign w:val="superscript"/>
    </w:rPr>
  </w:style>
  <w:style w:type="paragraph" w:styleId="BalloonText">
    <w:name w:val="Balloon Text"/>
    <w:basedOn w:val="Normal"/>
    <w:link w:val="BalloonTextChar"/>
    <w:uiPriority w:val="99"/>
    <w:semiHidden/>
    <w:unhideWhenUsed/>
    <w:rsid w:val="00B93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D7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076E"/>
    <w:rPr>
      <w:sz w:val="16"/>
      <w:szCs w:val="16"/>
    </w:rPr>
  </w:style>
  <w:style w:type="paragraph" w:styleId="CommentText">
    <w:name w:val="annotation text"/>
    <w:basedOn w:val="Normal"/>
    <w:link w:val="CommentTextChar"/>
    <w:uiPriority w:val="99"/>
    <w:semiHidden/>
    <w:unhideWhenUsed/>
    <w:rsid w:val="007E076E"/>
    <w:pPr>
      <w:spacing w:line="240" w:lineRule="auto"/>
    </w:pPr>
    <w:rPr>
      <w:sz w:val="20"/>
      <w:szCs w:val="20"/>
    </w:rPr>
  </w:style>
  <w:style w:type="character" w:customStyle="1" w:styleId="CommentTextChar">
    <w:name w:val="Comment Text Char"/>
    <w:basedOn w:val="DefaultParagraphFont"/>
    <w:link w:val="CommentText"/>
    <w:uiPriority w:val="99"/>
    <w:semiHidden/>
    <w:rsid w:val="007E076E"/>
    <w:rPr>
      <w:sz w:val="20"/>
      <w:szCs w:val="20"/>
    </w:rPr>
  </w:style>
  <w:style w:type="paragraph" w:styleId="CommentSubject">
    <w:name w:val="annotation subject"/>
    <w:basedOn w:val="CommentText"/>
    <w:next w:val="CommentText"/>
    <w:link w:val="CommentSubjectChar"/>
    <w:uiPriority w:val="99"/>
    <w:semiHidden/>
    <w:unhideWhenUsed/>
    <w:rsid w:val="007E076E"/>
    <w:rPr>
      <w:b/>
      <w:bCs/>
    </w:rPr>
  </w:style>
  <w:style w:type="character" w:customStyle="1" w:styleId="CommentSubjectChar">
    <w:name w:val="Comment Subject Char"/>
    <w:basedOn w:val="CommentTextChar"/>
    <w:link w:val="CommentSubject"/>
    <w:uiPriority w:val="99"/>
    <w:semiHidden/>
    <w:rsid w:val="007E0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nnovations.org/sites/default/files/Non%20Traditional%20Financing%20for%20Education%20Topic%20Guide%20%282%29.pdf" TargetMode="External"/><Relationship Id="rId13" Type="http://schemas.openxmlformats.org/officeDocument/2006/relationships/hyperlink" Target="http://ficci.in/spdocument/20385/ey-ficci-report-education.pdf" TargetMode="External"/><Relationship Id="rId18" Type="http://schemas.openxmlformats.org/officeDocument/2006/relationships/hyperlink" Target="http://iiic.in/wp-content/uploads/2018/10/SDG-4-8-Quality-Education-Report.pdf" TargetMode="External"/><Relationship Id="rId26" Type="http://schemas.openxmlformats.org/officeDocument/2006/relationships/hyperlink" Target="https://www.oecd.org/development/social-impact-investment-2019-9789264311299-en.htm" TargetMode="External"/><Relationship Id="rId3" Type="http://schemas.openxmlformats.org/officeDocument/2006/relationships/styles" Target="styles.xml"/><Relationship Id="rId21" Type="http://schemas.openxmlformats.org/officeDocument/2006/relationships/hyperlink" Target="https://www.kaizenpe.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sr.org/reports/BSR_Conditions_for_Scaling_Social_Finance_2015.pdf" TargetMode="External"/><Relationship Id="rId17" Type="http://schemas.openxmlformats.org/officeDocument/2006/relationships/hyperlink" Target="https://www.brookings.edu/wp-content/uploads/2016/07/Impact-Bondsweb.pdf" TargetMode="External"/><Relationship Id="rId25" Type="http://schemas.openxmlformats.org/officeDocument/2006/relationships/hyperlink" Target="http://www.nishithdesai.com/fileadmin/user_upload/pdfs/Research%20Papers/IMPACT_INVESTING_SIMPLIFIED_IN_INDIA.pdf" TargetMode="External"/><Relationship Id="rId33" Type="http://schemas.openxmlformats.org/officeDocument/2006/relationships/hyperlink" Target="http://www3.weforum.org/docs/WEF_II_FromMarginsMainstream_Report_2013.pdf" TargetMode="External"/><Relationship Id="rId2" Type="http://schemas.openxmlformats.org/officeDocument/2006/relationships/numbering" Target="numbering.xml"/><Relationship Id="rId16" Type="http://schemas.openxmlformats.org/officeDocument/2006/relationships/hyperlink" Target="https://www.brookings.edu/wp-content/uploads/2017/09/impact-bonds-in-developing-countries_web.pdf" TargetMode="External"/><Relationship Id="rId20" Type="http://schemas.openxmlformats.org/officeDocument/2006/relationships/hyperlink" Target="http://documents.worldbank.org/curated/en/261061468339872667/pdf/839980WP0IFC0B0BLIC00EduInvestGuide.pdf" TargetMode="External"/><Relationship Id="rId29" Type="http://schemas.openxmlformats.org/officeDocument/2006/relationships/hyperlink" Target="http://www.juliusramos.com/salvuscapital/i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upenn.edu/cgi/viewcontent.cgi?article=1906&amp;context=jil" TargetMode="External"/><Relationship Id="rId24" Type="http://schemas.openxmlformats.org/officeDocument/2006/relationships/hyperlink" Target="http://www.nishithdesai.com/fileadmin/user_upload/pdfs/Research%20Papers/Investment_in_the_Education_Sector.pdf" TargetMode="External"/><Relationship Id="rId32" Type="http://schemas.openxmlformats.org/officeDocument/2006/relationships/hyperlink" Target="https://unstats.un.org/sdgs/indicators/Global%20Indicator%20Framework_A.RES.71.313%20Annex.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ookings.edu/research/paying-for-education-outcomes-at-scale-in-india/" TargetMode="External"/><Relationship Id="rId23" Type="http://schemas.openxmlformats.org/officeDocument/2006/relationships/hyperlink" Target="https://static1.squarespace.com/static/5b7cc54eec4eb7d25f7af2be/t/5dce708f3c7fd22c0bb30f1a/1573810490043/EG_Final_reduced.pdf" TargetMode="External"/><Relationship Id="rId28" Type="http://schemas.openxmlformats.org/officeDocument/2006/relationships/hyperlink" Target="https://www.brookings.edu/wp-content/uploads/2019/07/The-promise-of-impact-investing-in-India.pdf" TargetMode="External"/><Relationship Id="rId36" Type="http://schemas.openxmlformats.org/officeDocument/2006/relationships/fontTable" Target="fontTable.xml"/><Relationship Id="rId10" Type="http://schemas.openxmlformats.org/officeDocument/2006/relationships/hyperlink" Target="https://www.pwc.in/assets/pdfs/publications-2011/catalysing_growth_education_sector_in_the_northern_region.pdf" TargetMode="External"/><Relationship Id="rId19" Type="http://schemas.openxmlformats.org/officeDocument/2006/relationships/hyperlink" Target="https://www.opensocietyfoundations.org/uploads/02f45170-5869-4ae7-ac58-5a0feb72acfa/innovative-financing-global-education-20140106_0.pdf" TargetMode="External"/><Relationship Id="rId31" Type="http://schemas.openxmlformats.org/officeDocument/2006/relationships/hyperlink" Target="https://unesdoc.unesco.org/ark:/48223/pf0000260068" TargetMode="External"/><Relationship Id="rId4" Type="http://schemas.openxmlformats.org/officeDocument/2006/relationships/settings" Target="settings.xml"/><Relationship Id="rId9" Type="http://schemas.openxmlformats.org/officeDocument/2006/relationships/hyperlink" Target="https://www.r4d.org/wp-content/uploads/Innovative-Financing-Recommendations.pdf" TargetMode="External"/><Relationship Id="rId14" Type="http://schemas.openxmlformats.org/officeDocument/2006/relationships/hyperlink" Target="https://thegiin.org/assets/GIIN_2019%20Annual%20Impact%20Investor%20Survey_webfile.pdf" TargetMode="External"/><Relationship Id="rId22" Type="http://schemas.openxmlformats.org/officeDocument/2006/relationships/hyperlink" Target="http://www.kaizenpe.com/kies2014/pdf/Kaizen-Education-Report.pdf" TargetMode="External"/><Relationship Id="rId27" Type="http://schemas.openxmlformats.org/officeDocument/2006/relationships/hyperlink" Target="https://thegiin.org/assets/Impact-investing-finds-its-place-in-India.pdf" TargetMode="External"/><Relationship Id="rId30" Type="http://schemas.openxmlformats.org/officeDocument/2006/relationships/hyperlink" Target="https://www.brookings.edu/wp-content/uploads/2016/07/FinancingForEducation2015.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3BAEB8-41E9-4F30-B73E-F5016E86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Mehendale</dc:creator>
  <cp:keywords/>
  <dc:description/>
  <cp:lastModifiedBy>Archana Mehendale</cp:lastModifiedBy>
  <cp:revision>72</cp:revision>
  <dcterms:created xsi:type="dcterms:W3CDTF">2020-03-27T21:49:00Z</dcterms:created>
  <dcterms:modified xsi:type="dcterms:W3CDTF">2020-04-28T16:42:00Z</dcterms:modified>
</cp:coreProperties>
</file>